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22" w:rsidRPr="00076DD3" w:rsidRDefault="00914322" w:rsidP="00914322">
      <w:pPr>
        <w:jc w:val="both"/>
        <w:rPr>
          <w:rFonts w:ascii="Cambria" w:hAnsi="Cambria" w:cs="Arial"/>
          <w:b/>
          <w:sz w:val="22"/>
          <w:szCs w:val="22"/>
        </w:rPr>
      </w:pP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b/>
          <w:sz w:val="22"/>
          <w:szCs w:val="22"/>
        </w:rPr>
        <w:t>PROVINCE DE QUÉBEC</w:t>
      </w: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b/>
          <w:sz w:val="22"/>
          <w:szCs w:val="22"/>
        </w:rPr>
        <w:t>MRC DU VAL SAINT-FRANÇOIS</w:t>
      </w: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b/>
          <w:sz w:val="22"/>
          <w:szCs w:val="22"/>
        </w:rPr>
        <w:t>MUNICIPALITÉ DE SAINT-CLAUDE</w:t>
      </w:r>
    </w:p>
    <w:p w:rsidR="00914322" w:rsidRPr="006C0249" w:rsidRDefault="00A014CA" w:rsidP="00914322">
      <w:pPr>
        <w:jc w:val="center"/>
        <w:rPr>
          <w:rFonts w:asciiTheme="majorHAnsi" w:hAnsiTheme="majorHAnsi" w:cs="Arial"/>
          <w:b/>
          <w:sz w:val="22"/>
          <w:szCs w:val="22"/>
          <w:u w:val="single"/>
        </w:rPr>
      </w:pPr>
      <w:r w:rsidRPr="006C0249">
        <w:rPr>
          <w:rFonts w:asciiTheme="majorHAnsi" w:hAnsiTheme="majorHAnsi" w:cs="Arial"/>
          <w:b/>
          <w:sz w:val="22"/>
          <w:szCs w:val="22"/>
          <w:u w:val="single"/>
        </w:rPr>
        <w:t>RÈGLEMENT NO 2018-316</w:t>
      </w:r>
    </w:p>
    <w:p w:rsidR="00BE27CE" w:rsidRPr="006C0249" w:rsidRDefault="00BE27CE" w:rsidP="00914322">
      <w:pPr>
        <w:jc w:val="center"/>
        <w:rPr>
          <w:rFonts w:asciiTheme="majorHAnsi" w:hAnsiTheme="majorHAnsi"/>
          <w:b/>
          <w:i/>
          <w:iCs/>
          <w:sz w:val="22"/>
          <w:szCs w:val="22"/>
        </w:rPr>
      </w:pPr>
    </w:p>
    <w:p w:rsidR="00914322" w:rsidRPr="006C0249" w:rsidRDefault="00914322" w:rsidP="00914322">
      <w:pPr>
        <w:jc w:val="center"/>
        <w:rPr>
          <w:rFonts w:asciiTheme="majorHAnsi" w:hAnsiTheme="majorHAnsi"/>
          <w:b/>
          <w:i/>
          <w:iCs/>
          <w:sz w:val="22"/>
          <w:szCs w:val="22"/>
        </w:rPr>
      </w:pPr>
      <w:r w:rsidRPr="006C0249">
        <w:rPr>
          <w:rFonts w:asciiTheme="majorHAnsi" w:hAnsiTheme="majorHAnsi"/>
          <w:b/>
          <w:i/>
          <w:iCs/>
          <w:sz w:val="22"/>
          <w:szCs w:val="22"/>
        </w:rPr>
        <w:t>RÈGLEMENT POUR FIXER LES TAUX DE TAXES ET LES TARIFS POUR L’EXERCICE FINANCIER 201</w:t>
      </w:r>
      <w:r w:rsidR="00A014CA" w:rsidRPr="006C0249">
        <w:rPr>
          <w:rFonts w:asciiTheme="majorHAnsi" w:hAnsiTheme="majorHAnsi"/>
          <w:b/>
          <w:i/>
          <w:iCs/>
          <w:sz w:val="22"/>
          <w:szCs w:val="22"/>
        </w:rPr>
        <w:t>9</w:t>
      </w:r>
      <w:r w:rsidRPr="006C0249">
        <w:rPr>
          <w:rFonts w:asciiTheme="majorHAnsi" w:hAnsiTheme="majorHAnsi"/>
          <w:b/>
          <w:i/>
          <w:iCs/>
          <w:sz w:val="22"/>
          <w:szCs w:val="22"/>
        </w:rPr>
        <w:t xml:space="preserve"> ET LES CONDITIONS DE LEUR PERCEPTION</w:t>
      </w:r>
    </w:p>
    <w:p w:rsidR="00914322" w:rsidRPr="006C0249" w:rsidRDefault="00914322" w:rsidP="00914322">
      <w:pPr>
        <w:jc w:val="both"/>
        <w:rPr>
          <w:rFonts w:asciiTheme="majorHAnsi" w:hAnsiTheme="majorHAnsi" w:cs="Arial"/>
          <w:b/>
          <w:color w:val="4F81BD" w:themeColor="accent1"/>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CONSIDÉRANT QUE</w:t>
      </w:r>
      <w:r w:rsidRPr="006C0249">
        <w:rPr>
          <w:rFonts w:asciiTheme="majorHAnsi" w:hAnsiTheme="majorHAnsi" w:cs="Arial"/>
          <w:sz w:val="22"/>
          <w:szCs w:val="22"/>
        </w:rPr>
        <w:t xml:space="preserve"> la municipalité de Saint-Claude a adopté son budget pour l’année financière 201</w:t>
      </w:r>
      <w:r w:rsidR="00A014CA" w:rsidRPr="006C0249">
        <w:rPr>
          <w:rFonts w:asciiTheme="majorHAnsi" w:hAnsiTheme="majorHAnsi" w:cs="Arial"/>
          <w:sz w:val="22"/>
          <w:szCs w:val="22"/>
        </w:rPr>
        <w:t>9</w:t>
      </w:r>
      <w:r w:rsidRPr="006C0249">
        <w:rPr>
          <w:rFonts w:asciiTheme="majorHAnsi" w:hAnsiTheme="majorHAnsi" w:cs="Arial"/>
          <w:sz w:val="22"/>
          <w:szCs w:val="22"/>
        </w:rPr>
        <w:t xml:space="preserve"> qui prévoit des revenus égaux aux dépenses qui y figurent ;</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CONSIDÉRANT QUE</w:t>
      </w:r>
      <w:r w:rsidRPr="006C0249">
        <w:rPr>
          <w:rFonts w:asciiTheme="majorHAnsi" w:hAnsiTheme="majorHAnsi" w:cs="Arial"/>
          <w:sz w:val="22"/>
          <w:szCs w:val="22"/>
        </w:rPr>
        <w:t xml:space="preserve"> l'adoption d'un tel budget nécessite des modifications dans la tarification des services municipaux et du taux de la taxe foncière pour l'année fiscale 2018;</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CONSIDÉRANT QUE</w:t>
      </w:r>
      <w:r w:rsidRPr="006C0249">
        <w:rPr>
          <w:rFonts w:asciiTheme="majorHAnsi" w:hAnsiTheme="majorHAnsi" w:cs="Arial"/>
          <w:sz w:val="22"/>
          <w:szCs w:val="22"/>
        </w:rPr>
        <w:t xml:space="preserve"> selon l'article 988 du </w:t>
      </w:r>
      <w:r w:rsidRPr="006C0249">
        <w:rPr>
          <w:rFonts w:asciiTheme="majorHAnsi" w:hAnsiTheme="majorHAnsi" w:cs="Arial"/>
          <w:i/>
          <w:sz w:val="22"/>
          <w:szCs w:val="22"/>
        </w:rPr>
        <w:t>Code municipal</w:t>
      </w:r>
      <w:r w:rsidRPr="006C0249">
        <w:rPr>
          <w:rFonts w:asciiTheme="majorHAnsi" w:hAnsiTheme="majorHAnsi" w:cs="Arial"/>
          <w:sz w:val="22"/>
          <w:szCs w:val="22"/>
        </w:rPr>
        <w:t>, toutes taxes doivent être imposées par règlement;</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rPr>
          <w:rFonts w:asciiTheme="majorHAnsi" w:hAnsiTheme="majorHAnsi"/>
          <w:bCs/>
          <w:sz w:val="22"/>
          <w:szCs w:val="22"/>
        </w:rPr>
      </w:pPr>
      <w:r w:rsidRPr="006C0249">
        <w:rPr>
          <w:rFonts w:asciiTheme="majorHAnsi" w:hAnsiTheme="majorHAnsi"/>
          <w:b/>
          <w:bCs/>
          <w:caps/>
          <w:sz w:val="22"/>
          <w:szCs w:val="22"/>
        </w:rPr>
        <w:t>CONSIDÉRANT QU’</w:t>
      </w:r>
      <w:r w:rsidRPr="006C0249">
        <w:rPr>
          <w:rFonts w:asciiTheme="majorHAnsi" w:hAnsiTheme="majorHAnsi"/>
          <w:bCs/>
          <w:sz w:val="22"/>
          <w:szCs w:val="22"/>
        </w:rPr>
        <w:t xml:space="preserve">en vertu de l’article 244.1 de la </w:t>
      </w:r>
      <w:r w:rsidRPr="006C0249">
        <w:rPr>
          <w:rFonts w:asciiTheme="majorHAnsi" w:hAnsiTheme="majorHAnsi"/>
          <w:bCs/>
          <w:i/>
          <w:sz w:val="22"/>
          <w:szCs w:val="22"/>
        </w:rPr>
        <w:t>Loi sur la fiscalité municipale</w:t>
      </w:r>
      <w:r w:rsidRPr="006C0249">
        <w:rPr>
          <w:rFonts w:asciiTheme="majorHAnsi" w:hAnsiTheme="majorHAnsi"/>
          <w:bCs/>
          <w:sz w:val="22"/>
          <w:szCs w:val="22"/>
        </w:rPr>
        <w:t>, une municipalité locale peut, par règlement, imposer un tarif pour financer les services qu’elle offre;</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CONSIDÉRANT QU</w:t>
      </w:r>
      <w:r w:rsidRPr="006C0249">
        <w:rPr>
          <w:rFonts w:asciiTheme="majorHAnsi" w:hAnsiTheme="majorHAnsi" w:cs="Arial"/>
          <w:sz w:val="22"/>
          <w:szCs w:val="22"/>
        </w:rPr>
        <w:t xml:space="preserve">’en vertu de l'article 252 de la </w:t>
      </w:r>
      <w:r w:rsidRPr="006C0249">
        <w:rPr>
          <w:rFonts w:asciiTheme="majorHAnsi" w:hAnsiTheme="majorHAnsi" w:cs="Arial"/>
          <w:i/>
          <w:sz w:val="22"/>
          <w:szCs w:val="22"/>
        </w:rPr>
        <w:t>Loi sur la fiscalité municipale</w:t>
      </w:r>
      <w:r w:rsidRPr="006C0249">
        <w:rPr>
          <w:rFonts w:asciiTheme="majorHAnsi" w:hAnsiTheme="majorHAnsi" w:cs="Arial"/>
          <w:sz w:val="22"/>
          <w:szCs w:val="22"/>
        </w:rPr>
        <w:t>, une municipalité locale peut réglementer le nombre de versements, la date des versements ainsi que les modalités d'application de l'intérêt sur les versements échus de la taxe foncière et des tarifs;</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CONSIDÉRANT QU</w:t>
      </w:r>
      <w:r w:rsidRPr="006C0249">
        <w:rPr>
          <w:rFonts w:asciiTheme="majorHAnsi" w:hAnsiTheme="majorHAnsi" w:cs="Arial"/>
          <w:sz w:val="22"/>
          <w:szCs w:val="22"/>
        </w:rPr>
        <w:t xml:space="preserve">’UN avis de motion relatif au présent règlement a été donné à la séance du conseil tenue le </w:t>
      </w:r>
      <w:r w:rsidR="00A014CA" w:rsidRPr="006C0249">
        <w:rPr>
          <w:rFonts w:asciiTheme="majorHAnsi" w:hAnsiTheme="majorHAnsi" w:cs="Arial"/>
          <w:sz w:val="22"/>
          <w:szCs w:val="22"/>
        </w:rPr>
        <w:t>3</w:t>
      </w:r>
      <w:r w:rsidRPr="006C0249">
        <w:rPr>
          <w:rFonts w:asciiTheme="majorHAnsi" w:hAnsiTheme="majorHAnsi" w:cs="Arial"/>
          <w:sz w:val="22"/>
          <w:szCs w:val="22"/>
        </w:rPr>
        <w:t xml:space="preserve"> décembre 201</w:t>
      </w:r>
      <w:r w:rsidR="00A014CA" w:rsidRPr="006C0249">
        <w:rPr>
          <w:rFonts w:asciiTheme="majorHAnsi" w:hAnsiTheme="majorHAnsi" w:cs="Arial"/>
          <w:sz w:val="22"/>
          <w:szCs w:val="22"/>
        </w:rPr>
        <w:t>8</w:t>
      </w:r>
      <w:r w:rsidR="00915E73" w:rsidRPr="006C0249">
        <w:rPr>
          <w:rFonts w:asciiTheme="majorHAnsi" w:hAnsiTheme="majorHAnsi" w:cs="Arial"/>
          <w:sz w:val="22"/>
          <w:szCs w:val="22"/>
        </w:rPr>
        <w:t xml:space="preserve"> ainsi que le dépôt du projet de règlement</w:t>
      </w:r>
      <w:r w:rsidRPr="006C0249">
        <w:rPr>
          <w:rFonts w:asciiTheme="majorHAnsi" w:hAnsiTheme="majorHAnsi" w:cs="Arial"/>
          <w:sz w:val="22"/>
          <w:szCs w:val="22"/>
        </w:rPr>
        <w:t>;</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EN CONSÉQUENCE,</w:t>
      </w:r>
      <w:r w:rsidRPr="006C0249">
        <w:rPr>
          <w:rFonts w:asciiTheme="majorHAnsi" w:hAnsiTheme="majorHAnsi" w:cs="Arial"/>
          <w:sz w:val="22"/>
          <w:szCs w:val="22"/>
        </w:rPr>
        <w:t xml:space="preserve"> il est proposé par le conseiller</w:t>
      </w:r>
      <w:r w:rsidR="00850B99" w:rsidRPr="006C0249">
        <w:rPr>
          <w:rFonts w:asciiTheme="majorHAnsi" w:hAnsiTheme="majorHAnsi" w:cs="Arial"/>
          <w:sz w:val="22"/>
          <w:szCs w:val="22"/>
        </w:rPr>
        <w:t xml:space="preserve"> Marco </w:t>
      </w:r>
      <w:proofErr w:type="spellStart"/>
      <w:r w:rsidR="00850B99" w:rsidRPr="006C0249">
        <w:rPr>
          <w:rFonts w:asciiTheme="majorHAnsi" w:hAnsiTheme="majorHAnsi" w:cs="Arial"/>
          <w:sz w:val="22"/>
          <w:szCs w:val="22"/>
        </w:rPr>
        <w:t>Scrosati</w:t>
      </w:r>
      <w:proofErr w:type="spellEnd"/>
      <w:r w:rsidRPr="006C0249">
        <w:rPr>
          <w:rFonts w:asciiTheme="majorHAnsi" w:hAnsiTheme="majorHAnsi" w:cs="Arial"/>
          <w:sz w:val="22"/>
          <w:szCs w:val="22"/>
        </w:rPr>
        <w:t xml:space="preserve">, appuyé par le conseiller </w:t>
      </w:r>
      <w:r w:rsidR="00850B99" w:rsidRPr="006C0249">
        <w:rPr>
          <w:rFonts w:asciiTheme="majorHAnsi" w:hAnsiTheme="majorHAnsi" w:cs="Arial"/>
          <w:sz w:val="22"/>
          <w:szCs w:val="22"/>
        </w:rPr>
        <w:t xml:space="preserve"> Yvon </w:t>
      </w:r>
      <w:proofErr w:type="spellStart"/>
      <w:r w:rsidR="00850B99" w:rsidRPr="006C0249">
        <w:rPr>
          <w:rFonts w:asciiTheme="majorHAnsi" w:hAnsiTheme="majorHAnsi" w:cs="Arial"/>
          <w:sz w:val="22"/>
          <w:szCs w:val="22"/>
        </w:rPr>
        <w:t>Therrien</w:t>
      </w:r>
      <w:proofErr w:type="spellEnd"/>
      <w:r w:rsidR="00850B99" w:rsidRPr="006C0249">
        <w:rPr>
          <w:rFonts w:asciiTheme="majorHAnsi" w:hAnsiTheme="majorHAnsi" w:cs="Arial"/>
          <w:sz w:val="22"/>
          <w:szCs w:val="22"/>
        </w:rPr>
        <w:t xml:space="preserve"> </w:t>
      </w:r>
      <w:r w:rsidRPr="006C0249">
        <w:rPr>
          <w:rFonts w:asciiTheme="majorHAnsi" w:hAnsiTheme="majorHAnsi" w:cs="Arial"/>
          <w:sz w:val="22"/>
          <w:szCs w:val="22"/>
        </w:rPr>
        <w:t>et résolu que le conseil de la municipalité de Saint-Claude ordonne et statue par le présent règlement ainsi ce qui suit, à savoir :</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1</w:t>
      </w:r>
      <w:r w:rsidRPr="006C0249">
        <w:rPr>
          <w:rFonts w:asciiTheme="majorHAnsi" w:hAnsiTheme="majorHAnsi" w:cs="Arial"/>
          <w:b/>
          <w:sz w:val="22"/>
          <w:szCs w:val="22"/>
        </w:rPr>
        <w:tab/>
        <w:t>PRÉAMBULE</w:t>
      </w:r>
    </w:p>
    <w:p w:rsidR="00914322" w:rsidRPr="006C0249" w:rsidRDefault="00914322" w:rsidP="00914322">
      <w:pPr>
        <w:jc w:val="both"/>
        <w:rPr>
          <w:rFonts w:asciiTheme="majorHAnsi" w:hAnsiTheme="majorHAnsi" w:cs="Arial"/>
          <w:b/>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Le préambule du présent règlement en fait partie intégrante.</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2</w:t>
      </w:r>
      <w:r w:rsidRPr="006C0249">
        <w:rPr>
          <w:rFonts w:asciiTheme="majorHAnsi" w:hAnsiTheme="majorHAnsi" w:cs="Arial"/>
          <w:b/>
          <w:sz w:val="22"/>
          <w:szCs w:val="22"/>
        </w:rPr>
        <w:tab/>
        <w:t>EXERCICE FINANCIER</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Les taux de taxes et les tarifs décrétés par le présent règlement s’appliquent pour l’année fiscale 201</w:t>
      </w:r>
      <w:r w:rsidR="00A014CA" w:rsidRPr="006C0249">
        <w:rPr>
          <w:rFonts w:asciiTheme="majorHAnsi" w:hAnsiTheme="majorHAnsi" w:cs="Arial"/>
          <w:sz w:val="22"/>
          <w:szCs w:val="22"/>
        </w:rPr>
        <w:t>9</w:t>
      </w:r>
      <w:r w:rsidRPr="006C0249">
        <w:rPr>
          <w:rFonts w:asciiTheme="majorHAnsi" w:hAnsiTheme="majorHAnsi" w:cs="Arial"/>
          <w:sz w:val="22"/>
          <w:szCs w:val="22"/>
        </w:rPr>
        <w:t xml:space="preserve"> du 1</w:t>
      </w:r>
      <w:r w:rsidRPr="006C0249">
        <w:rPr>
          <w:rFonts w:asciiTheme="majorHAnsi" w:hAnsiTheme="majorHAnsi" w:cs="Arial"/>
          <w:sz w:val="22"/>
          <w:szCs w:val="22"/>
          <w:vertAlign w:val="superscript"/>
        </w:rPr>
        <w:t>er</w:t>
      </w:r>
      <w:r w:rsidRPr="006C0249">
        <w:rPr>
          <w:rFonts w:asciiTheme="majorHAnsi" w:hAnsiTheme="majorHAnsi" w:cs="Arial"/>
          <w:sz w:val="22"/>
          <w:szCs w:val="22"/>
        </w:rPr>
        <w:t xml:space="preserve"> janvier au 31 décembre 201</w:t>
      </w:r>
      <w:r w:rsidR="00A014CA" w:rsidRPr="006C0249">
        <w:rPr>
          <w:rFonts w:asciiTheme="majorHAnsi" w:hAnsiTheme="majorHAnsi" w:cs="Arial"/>
          <w:sz w:val="22"/>
          <w:szCs w:val="22"/>
        </w:rPr>
        <w:t>9</w:t>
      </w:r>
      <w:r w:rsidRPr="006C0249">
        <w:rPr>
          <w:rFonts w:asciiTheme="majorHAnsi" w:hAnsiTheme="majorHAnsi" w:cs="Arial"/>
          <w:sz w:val="22"/>
          <w:szCs w:val="22"/>
        </w:rPr>
        <w:t>.</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 xml:space="preserve">ARTICLE 3 </w:t>
      </w:r>
      <w:r w:rsidRPr="006C0249">
        <w:rPr>
          <w:rFonts w:asciiTheme="majorHAnsi" w:hAnsiTheme="majorHAnsi" w:cs="Arial"/>
          <w:b/>
          <w:sz w:val="22"/>
          <w:szCs w:val="22"/>
        </w:rPr>
        <w:tab/>
        <w:t xml:space="preserve">TAUX DE LA TAXE FONCIÈRE  GÉNÉRALE </w:t>
      </w:r>
    </w:p>
    <w:p w:rsidR="00914322" w:rsidRPr="006C0249" w:rsidRDefault="00914322" w:rsidP="00914322">
      <w:pPr>
        <w:jc w:val="both"/>
        <w:rPr>
          <w:rFonts w:asciiTheme="majorHAnsi" w:hAnsiTheme="majorHAnsi" w:cs="Arial"/>
          <w:b/>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Le taux de taxe foncière générale est fixé à </w:t>
      </w:r>
      <w:r w:rsidR="00786429" w:rsidRPr="006C0249">
        <w:rPr>
          <w:rFonts w:asciiTheme="majorHAnsi" w:hAnsiTheme="majorHAnsi" w:cs="Arial"/>
          <w:b/>
          <w:sz w:val="22"/>
          <w:szCs w:val="22"/>
        </w:rPr>
        <w:t>0,67$</w:t>
      </w:r>
      <w:r w:rsidR="00786429" w:rsidRPr="006C0249">
        <w:rPr>
          <w:rFonts w:asciiTheme="majorHAnsi" w:hAnsiTheme="majorHAnsi" w:cs="Arial"/>
          <w:sz w:val="22"/>
          <w:szCs w:val="22"/>
        </w:rPr>
        <w:t xml:space="preserve"> </w:t>
      </w:r>
      <w:r w:rsidRPr="006C0249">
        <w:rPr>
          <w:rFonts w:asciiTheme="majorHAnsi" w:hAnsiTheme="majorHAnsi" w:cs="Arial"/>
          <w:b/>
          <w:sz w:val="22"/>
          <w:szCs w:val="22"/>
          <w:u w:val="single"/>
        </w:rPr>
        <w:t>du 100$</w:t>
      </w:r>
      <w:r w:rsidRPr="006C0249">
        <w:rPr>
          <w:rFonts w:asciiTheme="majorHAnsi" w:hAnsiTheme="majorHAnsi" w:cs="Arial"/>
          <w:sz w:val="22"/>
          <w:szCs w:val="22"/>
        </w:rPr>
        <w:t xml:space="preserve"> </w:t>
      </w:r>
      <w:r w:rsidRPr="006C0249">
        <w:rPr>
          <w:rFonts w:asciiTheme="majorHAnsi" w:hAnsiTheme="majorHAnsi" w:cs="Arial"/>
          <w:b/>
          <w:sz w:val="22"/>
          <w:szCs w:val="22"/>
        </w:rPr>
        <w:t>d'évaluation</w:t>
      </w:r>
      <w:r w:rsidRPr="006C0249">
        <w:rPr>
          <w:rFonts w:asciiTheme="majorHAnsi" w:hAnsiTheme="majorHAnsi" w:cs="Arial"/>
          <w:sz w:val="22"/>
          <w:szCs w:val="22"/>
        </w:rPr>
        <w:t xml:space="preserve"> conformément au rôle d'évaluation en vigueur.  </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Ce taux s’applique également aux valeurs agricoles et non agricoles des établissements agricoles enregistrés (E.A.E).</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4</w:t>
      </w:r>
      <w:r w:rsidRPr="006C0249">
        <w:rPr>
          <w:rFonts w:asciiTheme="majorHAnsi" w:hAnsiTheme="majorHAnsi" w:cs="Arial"/>
          <w:b/>
          <w:sz w:val="22"/>
          <w:szCs w:val="22"/>
        </w:rPr>
        <w:tab/>
        <w:t xml:space="preserve">TAUX APPLICABLES AUX RÈGLEMENTS D’EMPRUNT GÉNÉRAUX </w:t>
      </w:r>
    </w:p>
    <w:p w:rsidR="00914322" w:rsidRPr="006C0249" w:rsidRDefault="00914322" w:rsidP="00914322">
      <w:pPr>
        <w:jc w:val="both"/>
        <w:rPr>
          <w:rFonts w:asciiTheme="majorHAnsi" w:hAnsiTheme="majorHAnsi" w:cs="Arial"/>
          <w:b/>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Les taux des taxes spéciales imposées en vertu des règlements d’emprunts</w:t>
      </w:r>
      <w:r w:rsidR="00850B99" w:rsidRPr="006C0249">
        <w:rPr>
          <w:rFonts w:asciiTheme="majorHAnsi" w:hAnsiTheme="majorHAnsi" w:cs="Arial"/>
          <w:sz w:val="22"/>
          <w:szCs w:val="22"/>
        </w:rPr>
        <w:t xml:space="preserve"> 2006-256 (Camion autopompe), </w:t>
      </w:r>
      <w:r w:rsidRPr="006C0249">
        <w:rPr>
          <w:rFonts w:asciiTheme="majorHAnsi" w:hAnsiTheme="majorHAnsi" w:cs="Arial"/>
          <w:sz w:val="22"/>
          <w:szCs w:val="22"/>
        </w:rPr>
        <w:t>2011-286(taxe essence pavage)</w:t>
      </w:r>
      <w:r w:rsidR="00850B99" w:rsidRPr="006C0249">
        <w:rPr>
          <w:rFonts w:asciiTheme="majorHAnsi" w:hAnsiTheme="majorHAnsi" w:cs="Arial"/>
          <w:sz w:val="22"/>
          <w:szCs w:val="22"/>
        </w:rPr>
        <w:t xml:space="preserve"> et 2018-310 (dépenses et emprunt – travaux voirie Rang 8 et Route de l’Église) </w:t>
      </w:r>
      <w:r w:rsidRPr="006C0249">
        <w:rPr>
          <w:rFonts w:asciiTheme="majorHAnsi" w:hAnsiTheme="majorHAnsi" w:cs="Arial"/>
          <w:sz w:val="22"/>
          <w:szCs w:val="22"/>
        </w:rPr>
        <w:t xml:space="preserve">sur tous les immeubles situés sur le territoire de la municipalité, dont le total est de </w:t>
      </w:r>
      <w:bookmarkStart w:id="0" w:name="_GoBack"/>
      <w:r w:rsidR="00786429" w:rsidRPr="00BE1521">
        <w:rPr>
          <w:rFonts w:asciiTheme="majorHAnsi" w:hAnsiTheme="majorHAnsi" w:cs="Arial"/>
          <w:b/>
          <w:sz w:val="22"/>
          <w:szCs w:val="22"/>
        </w:rPr>
        <w:t>0,08$</w:t>
      </w:r>
      <w:r w:rsidR="00786429" w:rsidRPr="006C0249">
        <w:rPr>
          <w:rFonts w:asciiTheme="majorHAnsi" w:hAnsiTheme="majorHAnsi" w:cs="Arial"/>
          <w:sz w:val="22"/>
          <w:szCs w:val="22"/>
        </w:rPr>
        <w:t xml:space="preserve"> </w:t>
      </w:r>
      <w:bookmarkEnd w:id="0"/>
      <w:r w:rsidRPr="006C0249">
        <w:rPr>
          <w:rFonts w:asciiTheme="majorHAnsi" w:hAnsiTheme="majorHAnsi" w:cs="Arial"/>
          <w:b/>
          <w:sz w:val="22"/>
          <w:szCs w:val="22"/>
          <w:u w:val="single"/>
        </w:rPr>
        <w:t>du 100$</w:t>
      </w:r>
      <w:r w:rsidRPr="006C0249">
        <w:rPr>
          <w:rFonts w:asciiTheme="majorHAnsi" w:hAnsiTheme="majorHAnsi" w:cs="Arial"/>
          <w:b/>
          <w:sz w:val="22"/>
          <w:szCs w:val="22"/>
        </w:rPr>
        <w:t xml:space="preserve"> d’évaluation</w:t>
      </w:r>
      <w:r w:rsidRPr="006C0249">
        <w:rPr>
          <w:rFonts w:asciiTheme="majorHAnsi" w:hAnsiTheme="majorHAnsi" w:cs="Arial"/>
          <w:sz w:val="22"/>
          <w:szCs w:val="22"/>
        </w:rPr>
        <w:t>.</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sz w:val="22"/>
          <w:szCs w:val="22"/>
        </w:rPr>
      </w:pPr>
      <w:r w:rsidRPr="006C0249">
        <w:rPr>
          <w:rFonts w:asciiTheme="majorHAnsi" w:hAnsiTheme="majorHAnsi" w:cs="Arial"/>
          <w:sz w:val="22"/>
          <w:szCs w:val="22"/>
        </w:rPr>
        <w:t>Ces taux s’appliquent également aux valeurs agricoles et non agricoles des établissements agricoles enregistrés.</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1"/>
        <w:rPr>
          <w:rFonts w:asciiTheme="majorHAnsi" w:hAnsiTheme="majorHAnsi" w:cs="Arial"/>
          <w:b/>
          <w:sz w:val="22"/>
          <w:szCs w:val="22"/>
        </w:rPr>
      </w:pPr>
      <w:r w:rsidRPr="006C0249">
        <w:rPr>
          <w:rFonts w:asciiTheme="majorHAnsi" w:hAnsiTheme="majorHAnsi" w:cs="Arial"/>
          <w:b/>
          <w:sz w:val="22"/>
          <w:szCs w:val="22"/>
        </w:rPr>
        <w:t>ARTICLE 5</w:t>
      </w:r>
      <w:r w:rsidRPr="006C0249">
        <w:rPr>
          <w:rFonts w:asciiTheme="majorHAnsi" w:hAnsiTheme="majorHAnsi" w:cs="Arial"/>
          <w:b/>
          <w:sz w:val="22"/>
          <w:szCs w:val="22"/>
        </w:rPr>
        <w:tab/>
        <w:t>COMPENSATION SERVICE D’ÉGOUT : COÛT D’OPÉRATION DU SYSTÈME</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Aux fins de payer une partie du coût d’opération du système d’égout municipal, il est, par le présent règlement, exigé et sera prélevé durant l’exercice financier  de chaque propriétaire d’une maison, magasin ou bâtiment situé à l’intérieur du bassin « secteur de l’égout » décrit </w:t>
      </w:r>
      <w:r w:rsidRPr="006C0249">
        <w:rPr>
          <w:rFonts w:asciiTheme="majorHAnsi" w:hAnsiTheme="majorHAnsi" w:cs="Arial"/>
          <w:sz w:val="22"/>
          <w:szCs w:val="22"/>
        </w:rPr>
        <w:lastRenderedPageBreak/>
        <w:t>au règlement numéro 96-217 incluant les nouveaux branchements, que ce bâtiment soit raccordé ou non à l’élément épurateur municipal, une compensation établie selon les usages suivants :</w:t>
      </w:r>
    </w:p>
    <w:p w:rsidR="00914322" w:rsidRPr="006C0249" w:rsidRDefault="00914322" w:rsidP="00914322">
      <w:pPr>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Résidentiel (par unité de logement)</w:t>
            </w:r>
          </w:p>
        </w:tc>
        <w:tc>
          <w:tcPr>
            <w:tcW w:w="1868" w:type="dxa"/>
            <w:shd w:val="clear" w:color="auto" w:fill="auto"/>
          </w:tcPr>
          <w:p w:rsidR="00914322" w:rsidRPr="006C0249" w:rsidRDefault="00786429" w:rsidP="00DC32FE">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303$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sz w:val="22"/>
                <w:szCs w:val="22"/>
              </w:rPr>
              <w:t>ICI (industries, commerce, institutions)</w:t>
            </w:r>
          </w:p>
        </w:tc>
        <w:tc>
          <w:tcPr>
            <w:tcW w:w="1868" w:type="dxa"/>
            <w:shd w:val="clear" w:color="auto" w:fill="auto"/>
          </w:tcPr>
          <w:p w:rsidR="00914322" w:rsidRPr="006C0249" w:rsidRDefault="00786429" w:rsidP="00DC32FE">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303$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Exploitation agricole</w:t>
            </w:r>
          </w:p>
        </w:tc>
        <w:tc>
          <w:tcPr>
            <w:tcW w:w="1868" w:type="dxa"/>
            <w:shd w:val="clear" w:color="auto" w:fill="auto"/>
          </w:tcPr>
          <w:p w:rsidR="00914322" w:rsidRPr="006C0249" w:rsidRDefault="00786429" w:rsidP="00DC32FE">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620$ </w:t>
            </w:r>
          </w:p>
        </w:tc>
      </w:tr>
    </w:tbl>
    <w:p w:rsidR="00914322" w:rsidRPr="006C0249" w:rsidRDefault="00914322" w:rsidP="00914322">
      <w:pPr>
        <w:pStyle w:val="Paragraphedeliste"/>
        <w:ind w:left="0"/>
        <w:jc w:val="both"/>
        <w:rPr>
          <w:rFonts w:asciiTheme="majorHAnsi" w:hAnsiTheme="majorHAnsi" w:cs="Arial"/>
          <w:sz w:val="22"/>
          <w:szCs w:val="22"/>
        </w:rPr>
      </w:pP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6</w:t>
      </w:r>
      <w:r w:rsidRPr="006C0249">
        <w:rPr>
          <w:rFonts w:asciiTheme="majorHAnsi" w:hAnsiTheme="majorHAnsi" w:cs="Arial"/>
          <w:b/>
          <w:sz w:val="22"/>
          <w:szCs w:val="22"/>
        </w:rPr>
        <w:tab/>
      </w:r>
      <w:r w:rsidRPr="006C0249">
        <w:rPr>
          <w:rFonts w:asciiTheme="majorHAnsi" w:hAnsiTheme="majorHAnsi"/>
          <w:b/>
          <w:bCs/>
          <w:smallCaps/>
          <w:sz w:val="22"/>
          <w:szCs w:val="22"/>
        </w:rPr>
        <w:t>COMPENSATION POUR LE SERVICE DE LA VIDANGE DES FOSSES SEPTIQUES</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sz w:val="22"/>
          <w:szCs w:val="22"/>
        </w:rPr>
      </w:pPr>
      <w:r w:rsidRPr="006C0249">
        <w:rPr>
          <w:rFonts w:asciiTheme="majorHAnsi" w:hAnsiTheme="majorHAnsi" w:cs="Arial"/>
          <w:sz w:val="22"/>
          <w:szCs w:val="22"/>
        </w:rPr>
        <w:t>Aux fins de payer les coûts de vidange des fosses septiques reliés au règlement 2015-300</w:t>
      </w:r>
      <w:r w:rsidRPr="006C0249">
        <w:rPr>
          <w:rFonts w:asciiTheme="majorHAnsi" w:hAnsiTheme="majorHAnsi"/>
          <w:sz w:val="22"/>
          <w:szCs w:val="22"/>
        </w:rPr>
        <w:t xml:space="preserve"> </w:t>
      </w:r>
      <w:r w:rsidRPr="006C0249">
        <w:rPr>
          <w:rFonts w:asciiTheme="majorHAnsi" w:hAnsiTheme="majorHAnsi"/>
          <w:bCs/>
          <w:sz w:val="22"/>
          <w:szCs w:val="22"/>
        </w:rPr>
        <w:t>règlement s</w:t>
      </w:r>
      <w:r w:rsidRPr="006C0249">
        <w:rPr>
          <w:rFonts w:asciiTheme="majorHAnsi" w:hAnsiTheme="majorHAnsi"/>
          <w:sz w:val="22"/>
          <w:szCs w:val="22"/>
        </w:rPr>
        <w:t>ur la vidange des fosses septiques des résidences isolées</w:t>
      </w:r>
      <w:r w:rsidRPr="006C0249">
        <w:rPr>
          <w:rFonts w:asciiTheme="majorHAnsi" w:hAnsiTheme="majorHAnsi" w:cs="Arial"/>
          <w:sz w:val="22"/>
          <w:szCs w:val="22"/>
        </w:rPr>
        <w:t xml:space="preserve">, </w:t>
      </w:r>
      <w:r w:rsidRPr="006C0249">
        <w:rPr>
          <w:rFonts w:asciiTheme="majorHAnsi" w:hAnsiTheme="majorHAnsi"/>
          <w:sz w:val="22"/>
          <w:szCs w:val="22"/>
        </w:rPr>
        <w:t xml:space="preserve">il est exigé et sera prélevé, pour l’année, de chaque propriétaire d’immeubles imposables situés sur le territoire de la Municipalité et répondant à la définition de « résidence isolée ».  </w:t>
      </w:r>
    </w:p>
    <w:p w:rsidR="00914322" w:rsidRPr="006C0249" w:rsidRDefault="00914322" w:rsidP="00914322">
      <w:pPr>
        <w:jc w:val="both"/>
        <w:rPr>
          <w:rFonts w:asciiTheme="majorHAnsi" w:hAnsiTheme="majorHAnsi"/>
          <w:sz w:val="22"/>
          <w:szCs w:val="22"/>
        </w:rPr>
      </w:pPr>
    </w:p>
    <w:p w:rsidR="00914322" w:rsidRPr="006C0249" w:rsidRDefault="00914322" w:rsidP="00914322">
      <w:pPr>
        <w:jc w:val="both"/>
        <w:rPr>
          <w:rFonts w:asciiTheme="majorHAnsi" w:hAnsiTheme="majorHAnsi"/>
          <w:sz w:val="22"/>
          <w:szCs w:val="22"/>
        </w:rPr>
      </w:pPr>
      <w:r w:rsidRPr="006C0249">
        <w:rPr>
          <w:rFonts w:asciiTheme="majorHAnsi" w:hAnsiTheme="majorHAnsi"/>
          <w:sz w:val="22"/>
          <w:szCs w:val="22"/>
        </w:rPr>
        <w:t>Le montant de la compensation est établi pour chaque fosse selon la capacité et un tarif pour les saisonniers (1 vidange – 1 fois au 4 ans) de la façon suivante :</w:t>
      </w:r>
    </w:p>
    <w:p w:rsidR="00914322" w:rsidRPr="006C0249" w:rsidRDefault="00914322" w:rsidP="00914322">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850 gallons et moins</w:t>
            </w:r>
            <w:r w:rsidR="00786429" w:rsidRPr="006C0249">
              <w:rPr>
                <w:rFonts w:asciiTheme="majorHAnsi" w:eastAsia="Calibri" w:hAnsiTheme="majorHAnsi"/>
                <w:sz w:val="22"/>
                <w:szCs w:val="22"/>
              </w:rPr>
              <w:t xml:space="preserve">    (508)</w:t>
            </w:r>
          </w:p>
        </w:tc>
        <w:tc>
          <w:tcPr>
            <w:tcW w:w="1868" w:type="dxa"/>
            <w:shd w:val="clear" w:color="auto" w:fill="auto"/>
          </w:tcPr>
          <w:p w:rsidR="00914322" w:rsidRPr="006C0249" w:rsidRDefault="00914322" w:rsidP="00DC32FE">
            <w:pPr>
              <w:jc w:val="both"/>
              <w:rPr>
                <w:rFonts w:asciiTheme="majorHAnsi" w:eastAsia="Calibri" w:hAnsiTheme="majorHAnsi"/>
                <w:sz w:val="22"/>
                <w:szCs w:val="22"/>
              </w:rPr>
            </w:pPr>
            <w:r w:rsidRPr="006C0249">
              <w:rPr>
                <w:rFonts w:asciiTheme="majorHAnsi" w:eastAsia="Calibri" w:hAnsiTheme="majorHAnsi"/>
                <w:sz w:val="22"/>
                <w:szCs w:val="22"/>
              </w:rPr>
              <w:t xml:space="preserve">  </w:t>
            </w:r>
            <w:r w:rsidR="00786429" w:rsidRPr="006C0249">
              <w:rPr>
                <w:rFonts w:asciiTheme="majorHAnsi" w:eastAsia="Calibri" w:hAnsiTheme="majorHAnsi"/>
                <w:sz w:val="22"/>
                <w:szCs w:val="22"/>
              </w:rPr>
              <w:t xml:space="preserve">92$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950 à 1050 gallons</w:t>
            </w:r>
            <w:r w:rsidR="00786429" w:rsidRPr="006C0249">
              <w:rPr>
                <w:rFonts w:asciiTheme="majorHAnsi" w:eastAsia="Calibri" w:hAnsiTheme="majorHAnsi"/>
                <w:sz w:val="22"/>
                <w:szCs w:val="22"/>
              </w:rPr>
              <w:t xml:space="preserve">       (32)</w:t>
            </w:r>
          </w:p>
        </w:tc>
        <w:tc>
          <w:tcPr>
            <w:tcW w:w="1868" w:type="dxa"/>
            <w:shd w:val="clear" w:color="auto" w:fill="auto"/>
          </w:tcPr>
          <w:p w:rsidR="00914322" w:rsidRPr="006C0249" w:rsidRDefault="00914322" w:rsidP="00DC32FE">
            <w:pPr>
              <w:jc w:val="both"/>
              <w:rPr>
                <w:rFonts w:asciiTheme="majorHAnsi" w:eastAsia="Calibri" w:hAnsiTheme="majorHAnsi"/>
                <w:sz w:val="22"/>
                <w:szCs w:val="22"/>
              </w:rPr>
            </w:pPr>
            <w:r w:rsidRPr="006C0249">
              <w:rPr>
                <w:rFonts w:asciiTheme="majorHAnsi" w:eastAsia="Calibri" w:hAnsiTheme="majorHAnsi"/>
                <w:sz w:val="22"/>
                <w:szCs w:val="22"/>
              </w:rPr>
              <w:t xml:space="preserve">  </w:t>
            </w:r>
            <w:r w:rsidR="00786429" w:rsidRPr="006C0249">
              <w:rPr>
                <w:rFonts w:asciiTheme="majorHAnsi" w:eastAsia="Calibri" w:hAnsiTheme="majorHAnsi"/>
                <w:sz w:val="22"/>
                <w:szCs w:val="22"/>
              </w:rPr>
              <w:t xml:space="preserve">94$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1050 à 1200 gallons</w:t>
            </w:r>
            <w:r w:rsidR="00786429" w:rsidRPr="006C0249">
              <w:rPr>
                <w:rFonts w:asciiTheme="majorHAnsi" w:eastAsia="Calibri" w:hAnsiTheme="majorHAnsi"/>
                <w:sz w:val="22"/>
                <w:szCs w:val="22"/>
              </w:rPr>
              <w:t xml:space="preserve">     (5)</w:t>
            </w:r>
          </w:p>
        </w:tc>
        <w:tc>
          <w:tcPr>
            <w:tcW w:w="1868" w:type="dxa"/>
            <w:shd w:val="clear" w:color="auto" w:fill="auto"/>
          </w:tcPr>
          <w:p w:rsidR="00914322" w:rsidRPr="006C0249" w:rsidRDefault="00DC32FE" w:rsidP="00DC32FE">
            <w:pPr>
              <w:jc w:val="both"/>
              <w:rPr>
                <w:rFonts w:asciiTheme="majorHAnsi" w:eastAsia="Calibri" w:hAnsiTheme="majorHAnsi"/>
                <w:sz w:val="22"/>
                <w:szCs w:val="22"/>
              </w:rPr>
            </w:pPr>
            <w:r w:rsidRPr="006C0249">
              <w:rPr>
                <w:rFonts w:asciiTheme="majorHAnsi" w:eastAsia="Calibri" w:hAnsiTheme="majorHAnsi"/>
                <w:sz w:val="22"/>
                <w:szCs w:val="22"/>
              </w:rPr>
              <w:t xml:space="preserve">  </w:t>
            </w:r>
            <w:r w:rsidR="00786429" w:rsidRPr="006C0249">
              <w:rPr>
                <w:rFonts w:asciiTheme="majorHAnsi" w:eastAsia="Calibri" w:hAnsiTheme="majorHAnsi"/>
                <w:sz w:val="22"/>
                <w:szCs w:val="22"/>
              </w:rPr>
              <w:t xml:space="preserve">96$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Plus de 1201 gallons</w:t>
            </w:r>
            <w:r w:rsidR="00786429" w:rsidRPr="006C0249">
              <w:rPr>
                <w:rFonts w:asciiTheme="majorHAnsi" w:eastAsia="Calibri" w:hAnsiTheme="majorHAnsi"/>
                <w:sz w:val="22"/>
                <w:szCs w:val="22"/>
              </w:rPr>
              <w:t xml:space="preserve">    (3)</w:t>
            </w:r>
          </w:p>
        </w:tc>
        <w:tc>
          <w:tcPr>
            <w:tcW w:w="1868" w:type="dxa"/>
            <w:shd w:val="clear" w:color="auto" w:fill="auto"/>
          </w:tcPr>
          <w:p w:rsidR="00914322" w:rsidRPr="006C0249" w:rsidRDefault="00786429" w:rsidP="00DC32FE">
            <w:pPr>
              <w:jc w:val="both"/>
              <w:rPr>
                <w:rFonts w:asciiTheme="majorHAnsi" w:eastAsia="Calibri" w:hAnsiTheme="majorHAnsi"/>
                <w:sz w:val="22"/>
                <w:szCs w:val="22"/>
              </w:rPr>
            </w:pPr>
            <w:r w:rsidRPr="006C0249">
              <w:rPr>
                <w:rFonts w:asciiTheme="majorHAnsi" w:eastAsia="Calibri" w:hAnsiTheme="majorHAnsi"/>
                <w:sz w:val="22"/>
                <w:szCs w:val="22"/>
              </w:rPr>
              <w:t xml:space="preserve">136$ </w:t>
            </w:r>
          </w:p>
        </w:tc>
      </w:tr>
      <w:tr w:rsidR="00914322" w:rsidRPr="006C0249" w:rsidTr="003B25DC">
        <w:tc>
          <w:tcPr>
            <w:tcW w:w="6912" w:type="dxa"/>
            <w:shd w:val="clear" w:color="auto" w:fill="auto"/>
          </w:tcPr>
          <w:p w:rsidR="00914322" w:rsidRPr="006C0249" w:rsidRDefault="00786429" w:rsidP="003B25DC">
            <w:pPr>
              <w:jc w:val="both"/>
              <w:rPr>
                <w:rFonts w:asciiTheme="majorHAnsi" w:eastAsia="Calibri" w:hAnsiTheme="majorHAnsi"/>
                <w:sz w:val="22"/>
                <w:szCs w:val="22"/>
              </w:rPr>
            </w:pPr>
            <w:r w:rsidRPr="006C0249">
              <w:rPr>
                <w:rFonts w:asciiTheme="majorHAnsi" w:eastAsia="Calibri" w:hAnsiTheme="majorHAnsi"/>
                <w:sz w:val="22"/>
                <w:szCs w:val="22"/>
              </w:rPr>
              <w:t>S</w:t>
            </w:r>
            <w:r w:rsidR="00914322" w:rsidRPr="006C0249">
              <w:rPr>
                <w:rFonts w:asciiTheme="majorHAnsi" w:eastAsia="Calibri" w:hAnsiTheme="majorHAnsi"/>
                <w:sz w:val="22"/>
                <w:szCs w:val="22"/>
              </w:rPr>
              <w:t>aisonniers</w:t>
            </w:r>
            <w:r w:rsidRPr="006C0249">
              <w:rPr>
                <w:rFonts w:asciiTheme="majorHAnsi" w:eastAsia="Calibri" w:hAnsiTheme="majorHAnsi"/>
                <w:sz w:val="22"/>
                <w:szCs w:val="22"/>
              </w:rPr>
              <w:t xml:space="preserve">                   (53)</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 xml:space="preserve">  38.50$</w:t>
            </w:r>
          </w:p>
        </w:tc>
      </w:tr>
    </w:tbl>
    <w:p w:rsidR="00914322" w:rsidRPr="006C0249" w:rsidRDefault="00914322" w:rsidP="00914322">
      <w:pPr>
        <w:jc w:val="both"/>
        <w:rPr>
          <w:rFonts w:asciiTheme="majorHAnsi" w:hAnsiTheme="majorHAnsi"/>
          <w:sz w:val="22"/>
          <w:szCs w:val="22"/>
        </w:rPr>
      </w:pP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7</w:t>
      </w:r>
      <w:r w:rsidRPr="006C0249">
        <w:rPr>
          <w:rFonts w:asciiTheme="majorHAnsi" w:hAnsiTheme="majorHAnsi" w:cs="Arial"/>
          <w:b/>
          <w:sz w:val="22"/>
          <w:szCs w:val="22"/>
        </w:rPr>
        <w:tab/>
        <w:t xml:space="preserve">TARIF POUR LA COLLECTE, LE TRANSPORT ET LA DISPOSITION DES ORDURES </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Aux fins de payer les coûts </w:t>
      </w:r>
      <w:r w:rsidRPr="006C0249">
        <w:rPr>
          <w:rFonts w:asciiTheme="majorHAnsi" w:hAnsiTheme="majorHAnsi"/>
          <w:sz w:val="22"/>
          <w:szCs w:val="22"/>
        </w:rPr>
        <w:t xml:space="preserve"> les dépenses relatives au service de collecte et de transport des ORDURES, il est exigé et sera prélevé, pour l’année, de chaque propriétaire d’immeubles imposables situés sur le territoire de la municipalité, une compensation à l’égard de chaque immeuble dont il est propriétaire. Le montant de la compensation est établi </w:t>
      </w:r>
      <w:r w:rsidRPr="006C0249">
        <w:rPr>
          <w:rFonts w:asciiTheme="majorHAnsi" w:hAnsiTheme="majorHAnsi" w:cs="Arial"/>
          <w:sz w:val="22"/>
          <w:szCs w:val="22"/>
        </w:rPr>
        <w:t>de la façon suivante :</w:t>
      </w:r>
    </w:p>
    <w:p w:rsidR="00914322" w:rsidRPr="006C0249" w:rsidRDefault="00914322" w:rsidP="00914322">
      <w:pPr>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Résidentiel (par unité de logement)</w:t>
            </w:r>
          </w:p>
        </w:tc>
        <w:tc>
          <w:tcPr>
            <w:tcW w:w="1868"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105$</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sz w:val="22"/>
                <w:szCs w:val="22"/>
              </w:rPr>
              <w:t>ICI (industries, commerce, institutions)</w:t>
            </w:r>
          </w:p>
        </w:tc>
        <w:tc>
          <w:tcPr>
            <w:tcW w:w="1868" w:type="dxa"/>
            <w:shd w:val="clear" w:color="auto" w:fill="auto"/>
          </w:tcPr>
          <w:p w:rsidR="00914322" w:rsidRPr="006C0249" w:rsidRDefault="00ED1172"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120$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Maison de tourisme</w:t>
            </w:r>
          </w:p>
        </w:tc>
        <w:tc>
          <w:tcPr>
            <w:tcW w:w="1868" w:type="dxa"/>
            <w:shd w:val="clear" w:color="auto" w:fill="auto"/>
          </w:tcPr>
          <w:p w:rsidR="00914322" w:rsidRPr="006C0249" w:rsidRDefault="00D63DF7"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120</w:t>
            </w:r>
            <w:r w:rsidR="00860DD0" w:rsidRPr="006C0249">
              <w:rPr>
                <w:rFonts w:asciiTheme="majorHAnsi" w:eastAsia="Calibri" w:hAnsiTheme="majorHAnsi" w:cs="Arial"/>
                <w:sz w:val="22"/>
                <w:szCs w:val="22"/>
              </w:rPr>
              <w:t xml:space="preserve">$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Entreprise agricole enregistrée avec bâtiment de ferme (AEA)</w:t>
            </w:r>
          </w:p>
        </w:tc>
        <w:tc>
          <w:tcPr>
            <w:tcW w:w="1868" w:type="dxa"/>
            <w:shd w:val="clear" w:color="auto" w:fill="auto"/>
          </w:tcPr>
          <w:p w:rsidR="00914322" w:rsidRPr="006C0249" w:rsidRDefault="00860DD0"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140$ </w:t>
            </w:r>
          </w:p>
        </w:tc>
      </w:tr>
    </w:tbl>
    <w:p w:rsidR="00914322" w:rsidRPr="006C0249" w:rsidRDefault="00914322" w:rsidP="00914322">
      <w:pPr>
        <w:jc w:val="both"/>
        <w:rPr>
          <w:rFonts w:asciiTheme="majorHAnsi" w:hAnsiTheme="majorHAnsi" w:cs="Arial"/>
          <w:sz w:val="22"/>
          <w:szCs w:val="22"/>
        </w:rPr>
      </w:pPr>
    </w:p>
    <w:p w:rsidR="00914322" w:rsidRPr="006C0249" w:rsidRDefault="00914322" w:rsidP="00914322">
      <w:pPr>
        <w:ind w:firstLine="708"/>
        <w:jc w:val="both"/>
        <w:rPr>
          <w:rFonts w:asciiTheme="majorHAnsi" w:hAnsiTheme="majorHAnsi" w:cs="Arial"/>
          <w:sz w:val="22"/>
          <w:szCs w:val="22"/>
        </w:rPr>
      </w:pPr>
    </w:p>
    <w:p w:rsidR="00914322" w:rsidRPr="006C0249" w:rsidRDefault="00914322" w:rsidP="00914322">
      <w:pPr>
        <w:keepNext/>
        <w:jc w:val="both"/>
        <w:outlineLvl w:val="0"/>
        <w:rPr>
          <w:rFonts w:asciiTheme="majorHAnsi" w:hAnsiTheme="majorHAnsi" w:cs="Arial"/>
          <w:b/>
          <w:sz w:val="22"/>
          <w:szCs w:val="22"/>
        </w:rPr>
      </w:pPr>
      <w:r w:rsidRPr="006C0249">
        <w:rPr>
          <w:rFonts w:asciiTheme="majorHAnsi" w:hAnsiTheme="majorHAnsi" w:cs="Arial"/>
          <w:b/>
          <w:sz w:val="22"/>
          <w:szCs w:val="22"/>
        </w:rPr>
        <w:t>ARTICLE 8</w:t>
      </w:r>
      <w:r w:rsidRPr="006C0249">
        <w:rPr>
          <w:rFonts w:asciiTheme="majorHAnsi" w:hAnsiTheme="majorHAnsi" w:cs="Arial"/>
          <w:b/>
          <w:sz w:val="22"/>
          <w:szCs w:val="22"/>
        </w:rPr>
        <w:tab/>
        <w:t>TARIF POUR L’ENLÈVEMENT, LE TRANSPORT ET LA DISPOSITION DES MATIÈRES ORGANIQUES</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Aux fins de payer les coûts </w:t>
      </w:r>
      <w:r w:rsidRPr="006C0249">
        <w:rPr>
          <w:rFonts w:asciiTheme="majorHAnsi" w:hAnsiTheme="majorHAnsi"/>
          <w:sz w:val="22"/>
          <w:szCs w:val="22"/>
        </w:rPr>
        <w:t xml:space="preserve"> les dépenses relatives au service de collecte et de transport des matières ORGANIQUES, il est exigé et sera prélevé, pour l’année, de chaque propriétaire d’immeubles imposables situés sur le territoire de la Municipalité, une compensation à l’égard de chaque immeuble dont il est propriétaire. Le montant de la compensation est établi </w:t>
      </w:r>
      <w:r w:rsidRPr="006C0249">
        <w:rPr>
          <w:rFonts w:asciiTheme="majorHAnsi" w:hAnsiTheme="majorHAnsi" w:cs="Arial"/>
          <w:sz w:val="22"/>
          <w:szCs w:val="22"/>
        </w:rPr>
        <w:t>de la façon suivante :</w:t>
      </w:r>
    </w:p>
    <w:p w:rsidR="00914322" w:rsidRPr="006C0249" w:rsidRDefault="00914322" w:rsidP="00914322">
      <w:pPr>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Par unité de logement</w:t>
            </w:r>
          </w:p>
        </w:tc>
        <w:tc>
          <w:tcPr>
            <w:tcW w:w="1868" w:type="dxa"/>
            <w:shd w:val="clear" w:color="auto" w:fill="auto"/>
          </w:tcPr>
          <w:p w:rsidR="00914322" w:rsidRPr="006C0249" w:rsidRDefault="00C04A8B"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55$   </w:t>
            </w:r>
          </w:p>
        </w:tc>
      </w:tr>
    </w:tbl>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p>
    <w:p w:rsidR="00914322" w:rsidRPr="006C0249" w:rsidRDefault="00914322" w:rsidP="00914322">
      <w:pPr>
        <w:keepNext/>
        <w:jc w:val="both"/>
        <w:outlineLvl w:val="2"/>
        <w:rPr>
          <w:rFonts w:asciiTheme="majorHAnsi" w:hAnsiTheme="majorHAnsi" w:cs="Arial"/>
          <w:sz w:val="22"/>
          <w:szCs w:val="22"/>
        </w:rPr>
      </w:pPr>
      <w:r w:rsidRPr="006C0249">
        <w:rPr>
          <w:rFonts w:asciiTheme="majorHAnsi" w:hAnsiTheme="majorHAnsi" w:cs="Arial"/>
          <w:b/>
          <w:sz w:val="22"/>
          <w:szCs w:val="22"/>
        </w:rPr>
        <w:t>ARTICLE 9</w:t>
      </w:r>
      <w:r w:rsidRPr="006C0249">
        <w:rPr>
          <w:rFonts w:asciiTheme="majorHAnsi" w:hAnsiTheme="majorHAnsi" w:cs="Arial"/>
          <w:sz w:val="22"/>
          <w:szCs w:val="22"/>
        </w:rPr>
        <w:tab/>
      </w:r>
      <w:r w:rsidRPr="006C0249">
        <w:rPr>
          <w:rFonts w:asciiTheme="majorHAnsi" w:hAnsiTheme="majorHAnsi" w:cs="Arial"/>
          <w:b/>
          <w:sz w:val="22"/>
          <w:szCs w:val="22"/>
        </w:rPr>
        <w:t>TARIF POUR L’ENLÈVEMENT, LE TRANSPORT ET LA DISPOSITION DE LA COLLECTE SÉLECTIVE</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sz w:val="22"/>
          <w:szCs w:val="22"/>
        </w:rPr>
      </w:pPr>
      <w:r w:rsidRPr="006C0249">
        <w:rPr>
          <w:rFonts w:asciiTheme="majorHAnsi" w:hAnsiTheme="majorHAnsi" w:cs="Arial"/>
          <w:sz w:val="22"/>
          <w:szCs w:val="22"/>
        </w:rPr>
        <w:t xml:space="preserve">Aux fins de payer les coûts </w:t>
      </w:r>
      <w:r w:rsidRPr="006C0249">
        <w:rPr>
          <w:rFonts w:asciiTheme="majorHAnsi" w:hAnsiTheme="majorHAnsi"/>
          <w:sz w:val="22"/>
          <w:szCs w:val="22"/>
        </w:rPr>
        <w:t xml:space="preserve"> les dépenses relatives à la COLLECTE SÉLECTIVE des matières résiduelles, il est exigé et il sera prélevé pour l’année, de chaque propriétaire d’un immeuble imposable situé sur le territoire de la Municipalité et comprenant un bâtiment, une compensation, à l’égard de chaque tel immeuble,  selon le tarif qui suit :</w:t>
      </w:r>
    </w:p>
    <w:p w:rsidR="00914322" w:rsidRPr="006C0249" w:rsidRDefault="00914322" w:rsidP="00914322">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Résidentiel (par unité de logement)</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25$</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bookmarkStart w:id="1" w:name="OLE_LINK2"/>
            <w:r w:rsidRPr="006C0249">
              <w:rPr>
                <w:rFonts w:asciiTheme="majorHAnsi" w:eastAsia="Calibri" w:hAnsiTheme="majorHAnsi"/>
                <w:sz w:val="22"/>
                <w:szCs w:val="22"/>
              </w:rPr>
              <w:t>ICI (industries, commerce, institutions)</w:t>
            </w:r>
            <w:bookmarkEnd w:id="1"/>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75$</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Maison de tourisme</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75$</w:t>
            </w:r>
          </w:p>
        </w:tc>
      </w:tr>
    </w:tbl>
    <w:p w:rsidR="00914322" w:rsidRPr="006C0249" w:rsidRDefault="00914322" w:rsidP="00914322">
      <w:pPr>
        <w:jc w:val="both"/>
        <w:rPr>
          <w:rFonts w:asciiTheme="majorHAnsi" w:hAnsiTheme="majorHAnsi"/>
          <w:sz w:val="22"/>
          <w:szCs w:val="22"/>
        </w:rPr>
      </w:pPr>
    </w:p>
    <w:p w:rsidR="00E55A77" w:rsidRPr="006C0249" w:rsidRDefault="00E55A77" w:rsidP="00914322">
      <w:pPr>
        <w:jc w:val="both"/>
        <w:rPr>
          <w:rFonts w:asciiTheme="majorHAnsi" w:hAnsiTheme="majorHAnsi"/>
          <w:sz w:val="22"/>
          <w:szCs w:val="22"/>
        </w:rPr>
      </w:pP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b/>
          <w:sz w:val="22"/>
          <w:szCs w:val="22"/>
        </w:rPr>
        <w:t>ARTICLE 10</w:t>
      </w:r>
      <w:r w:rsidRPr="006C0249">
        <w:rPr>
          <w:rFonts w:asciiTheme="majorHAnsi" w:hAnsiTheme="majorHAnsi" w:cs="Arial"/>
          <w:b/>
          <w:sz w:val="22"/>
          <w:szCs w:val="22"/>
        </w:rPr>
        <w:tab/>
        <w:t>TARIF POUR LE SERVICE INCENDIE</w:t>
      </w:r>
    </w:p>
    <w:p w:rsidR="00914322" w:rsidRPr="006C0249" w:rsidRDefault="00914322" w:rsidP="00914322">
      <w:pPr>
        <w:jc w:val="both"/>
        <w:rPr>
          <w:rFonts w:asciiTheme="majorHAnsi" w:hAnsiTheme="majorHAnsi" w:cs="Arial"/>
          <w:b/>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Aux fins de payer une partie des coûts reliée au service de sécurité incendie, il est, par le présent règlement, exigé et sera prélevé durant l’exercice financier,  de chaque propriétaire d’un immeuble, une compensation établie de la façon suivante :</w:t>
      </w:r>
    </w:p>
    <w:p w:rsidR="00914322" w:rsidRPr="006C0249" w:rsidRDefault="00914322" w:rsidP="00914322">
      <w:pPr>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Résidentiel (par unité de logement)</w:t>
            </w:r>
          </w:p>
        </w:tc>
        <w:tc>
          <w:tcPr>
            <w:tcW w:w="1868" w:type="dxa"/>
            <w:shd w:val="clear" w:color="auto" w:fill="auto"/>
          </w:tcPr>
          <w:p w:rsidR="00914322" w:rsidRPr="006C0249" w:rsidRDefault="00ED1172"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25$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sz w:val="22"/>
                <w:szCs w:val="22"/>
              </w:rPr>
              <w:t>ICI (industries, commerce, institutions)</w:t>
            </w:r>
          </w:p>
        </w:tc>
        <w:tc>
          <w:tcPr>
            <w:tcW w:w="1868" w:type="dxa"/>
            <w:shd w:val="clear" w:color="auto" w:fill="auto"/>
          </w:tcPr>
          <w:p w:rsidR="00914322" w:rsidRPr="006C0249" w:rsidRDefault="00ED1172"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25$</w:t>
            </w:r>
          </w:p>
        </w:tc>
      </w:tr>
    </w:tbl>
    <w:p w:rsidR="00914322" w:rsidRPr="006C0249" w:rsidRDefault="00914322" w:rsidP="00914322">
      <w:pPr>
        <w:jc w:val="both"/>
        <w:rPr>
          <w:rFonts w:asciiTheme="majorHAnsi" w:hAnsiTheme="majorHAnsi"/>
          <w:b/>
          <w:bCs/>
          <w:smallCaps/>
          <w:sz w:val="22"/>
          <w:szCs w:val="22"/>
        </w:rPr>
      </w:pPr>
    </w:p>
    <w:p w:rsidR="00BE27CE" w:rsidRPr="006C0249" w:rsidRDefault="00BE27CE" w:rsidP="00914322">
      <w:pPr>
        <w:jc w:val="both"/>
        <w:rPr>
          <w:rFonts w:asciiTheme="majorHAnsi" w:hAnsiTheme="majorHAnsi"/>
          <w:b/>
          <w:bCs/>
          <w:smallCaps/>
          <w:sz w:val="22"/>
          <w:szCs w:val="22"/>
        </w:rPr>
      </w:pPr>
    </w:p>
    <w:p w:rsidR="00BE27CE" w:rsidRPr="006C0249" w:rsidRDefault="00914322" w:rsidP="00BE27CE">
      <w:pPr>
        <w:jc w:val="both"/>
        <w:rPr>
          <w:rFonts w:asciiTheme="majorHAnsi" w:hAnsiTheme="majorHAnsi"/>
          <w:b/>
          <w:bCs/>
          <w:smallCaps/>
          <w:sz w:val="22"/>
          <w:szCs w:val="22"/>
        </w:rPr>
      </w:pPr>
      <w:r w:rsidRPr="006C0249">
        <w:rPr>
          <w:rFonts w:asciiTheme="majorHAnsi" w:hAnsiTheme="majorHAnsi"/>
          <w:b/>
          <w:bCs/>
          <w:smallCaps/>
          <w:sz w:val="22"/>
          <w:szCs w:val="22"/>
        </w:rPr>
        <w:t>ARTICLE 11</w:t>
      </w:r>
      <w:r w:rsidRPr="006C0249">
        <w:rPr>
          <w:rFonts w:asciiTheme="majorHAnsi" w:hAnsiTheme="majorHAnsi"/>
          <w:b/>
          <w:bCs/>
          <w:smallCaps/>
          <w:sz w:val="22"/>
          <w:szCs w:val="22"/>
        </w:rPr>
        <w:tab/>
      </w:r>
      <w:r w:rsidR="00BE27CE" w:rsidRPr="006C0249">
        <w:rPr>
          <w:rFonts w:asciiTheme="majorHAnsi" w:hAnsiTheme="majorHAnsi"/>
          <w:b/>
          <w:sz w:val="22"/>
          <w:szCs w:val="22"/>
        </w:rPr>
        <w:t>COÛT D’INSCRIPTION POUR LE CAMP DE JOUR</w:t>
      </w:r>
    </w:p>
    <w:p w:rsidR="00BE27CE" w:rsidRPr="006C0249" w:rsidRDefault="00BE27CE" w:rsidP="00BE27CE">
      <w:pPr>
        <w:widowControl w:val="0"/>
        <w:jc w:val="both"/>
        <w:rPr>
          <w:rFonts w:asciiTheme="majorHAnsi" w:hAnsiTheme="majorHAnsi"/>
          <w:b/>
          <w:snapToGrid w:val="0"/>
          <w:sz w:val="22"/>
          <w:szCs w:val="22"/>
        </w:rPr>
      </w:pPr>
    </w:p>
    <w:p w:rsidR="00BE27CE" w:rsidRPr="006C0249" w:rsidRDefault="00BE27CE" w:rsidP="00BE27CE">
      <w:pPr>
        <w:widowControl w:val="0"/>
        <w:jc w:val="both"/>
        <w:rPr>
          <w:rFonts w:asciiTheme="majorHAnsi" w:hAnsiTheme="majorHAnsi"/>
          <w:snapToGrid w:val="0"/>
          <w:sz w:val="22"/>
          <w:szCs w:val="22"/>
        </w:rPr>
      </w:pPr>
      <w:r w:rsidRPr="006C0249">
        <w:rPr>
          <w:rFonts w:asciiTheme="majorHAnsi" w:hAnsiTheme="majorHAnsi"/>
          <w:snapToGrid w:val="0"/>
          <w:sz w:val="22"/>
          <w:szCs w:val="22"/>
        </w:rPr>
        <w:t>Le service d’animation estivale, camp de jours pour l’été soit de cinq (5) jours par semaine pendant au moins sept (7) semaines. </w:t>
      </w:r>
    </w:p>
    <w:p w:rsidR="00BE27CE" w:rsidRPr="006C0249" w:rsidRDefault="00BE27CE" w:rsidP="00BE27CE">
      <w:pPr>
        <w:widowControl w:val="0"/>
        <w:jc w:val="both"/>
        <w:rPr>
          <w:rFonts w:asciiTheme="majorHAnsi" w:hAnsiTheme="majorHAnsi"/>
          <w:snapToGrid w:val="0"/>
          <w:sz w:val="22"/>
          <w:szCs w:val="22"/>
        </w:rPr>
      </w:pPr>
    </w:p>
    <w:p w:rsidR="00BE27CE" w:rsidRPr="006C0249" w:rsidRDefault="00BE27CE" w:rsidP="00BE27CE">
      <w:pPr>
        <w:widowControl w:val="0"/>
        <w:jc w:val="both"/>
        <w:rPr>
          <w:rFonts w:asciiTheme="majorHAnsi" w:hAnsiTheme="majorHAnsi"/>
          <w:snapToGrid w:val="0"/>
          <w:sz w:val="22"/>
          <w:szCs w:val="22"/>
        </w:rPr>
      </w:pPr>
      <w:r w:rsidRPr="006C0249">
        <w:rPr>
          <w:rFonts w:asciiTheme="majorHAnsi" w:hAnsiTheme="majorHAnsi"/>
          <w:snapToGrid w:val="0"/>
          <w:sz w:val="22"/>
          <w:szCs w:val="22"/>
        </w:rPr>
        <w:t>Les enfants inscrits doivent être âgés de quatre (4) ans avant le 1er janvier 2019 à douze (12) ans;</w:t>
      </w:r>
    </w:p>
    <w:p w:rsidR="00BE27CE" w:rsidRPr="006C0249" w:rsidRDefault="00BE27CE" w:rsidP="00BE27CE">
      <w:pPr>
        <w:widowControl w:val="0"/>
        <w:jc w:val="both"/>
        <w:rPr>
          <w:rFonts w:asciiTheme="majorHAnsi" w:hAnsiTheme="majorHAnsi"/>
          <w:snapToGrid w:val="0"/>
          <w:sz w:val="22"/>
          <w:szCs w:val="22"/>
        </w:rPr>
      </w:pPr>
    </w:p>
    <w:p w:rsidR="00BE27CE" w:rsidRPr="006C0249" w:rsidRDefault="00BE27CE" w:rsidP="00BE27CE">
      <w:pPr>
        <w:widowControl w:val="0"/>
        <w:jc w:val="both"/>
        <w:rPr>
          <w:rFonts w:asciiTheme="majorHAnsi" w:hAnsiTheme="majorHAnsi"/>
          <w:snapToGrid w:val="0"/>
          <w:sz w:val="22"/>
          <w:szCs w:val="22"/>
        </w:rPr>
      </w:pPr>
      <w:r w:rsidRPr="006C0249">
        <w:rPr>
          <w:rFonts w:asciiTheme="majorHAnsi" w:hAnsiTheme="majorHAnsi"/>
          <w:b/>
          <w:snapToGrid w:val="0"/>
          <w:sz w:val="22"/>
          <w:szCs w:val="22"/>
        </w:rPr>
        <w:t>QUE</w:t>
      </w:r>
      <w:r w:rsidRPr="006C0249">
        <w:rPr>
          <w:rFonts w:asciiTheme="majorHAnsi" w:hAnsiTheme="majorHAnsi"/>
          <w:snapToGrid w:val="0"/>
          <w:sz w:val="22"/>
          <w:szCs w:val="22"/>
        </w:rPr>
        <w:t xml:space="preserve"> le coût d’inscription sont fixés à;</w:t>
      </w:r>
    </w:p>
    <w:p w:rsidR="00BE27CE" w:rsidRPr="006C0249" w:rsidRDefault="00BE27CE" w:rsidP="00BE27CE">
      <w:pPr>
        <w:widowControl w:val="0"/>
        <w:jc w:val="both"/>
        <w:rPr>
          <w:rFonts w:asciiTheme="majorHAnsi" w:hAnsiTheme="majorHAnsi"/>
          <w:snapToGrid w:val="0"/>
          <w:sz w:val="22"/>
          <w:szCs w:val="22"/>
        </w:rPr>
      </w:pPr>
    </w:p>
    <w:p w:rsidR="00BE27CE" w:rsidRPr="006C0249" w:rsidRDefault="00915E73" w:rsidP="00BE27CE">
      <w:pPr>
        <w:pStyle w:val="Titre1"/>
        <w:rPr>
          <w:rFonts w:asciiTheme="majorHAnsi" w:hAnsiTheme="majorHAnsi"/>
          <w:sz w:val="22"/>
          <w:szCs w:val="22"/>
        </w:rPr>
      </w:pPr>
      <w:r w:rsidRPr="006C0249">
        <w:rPr>
          <w:rFonts w:asciiTheme="majorHAnsi" w:hAnsiTheme="majorHAnsi"/>
          <w:sz w:val="22"/>
          <w:szCs w:val="22"/>
        </w:rPr>
        <w:t xml:space="preserve">COÛT D’INSCRIPTION </w:t>
      </w:r>
    </w:p>
    <w:p w:rsidR="00BE27CE" w:rsidRPr="006C0249" w:rsidRDefault="00BE27CE" w:rsidP="00BE27CE">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34"/>
        <w:gridCol w:w="1158"/>
        <w:gridCol w:w="1158"/>
        <w:gridCol w:w="1158"/>
        <w:gridCol w:w="1674"/>
        <w:gridCol w:w="1674"/>
      </w:tblGrid>
      <w:tr w:rsidR="00D724F6" w:rsidRPr="006C0249" w:rsidTr="00D724F6">
        <w:trPr>
          <w:trHeight w:val="411"/>
        </w:trPr>
        <w:tc>
          <w:tcPr>
            <w:tcW w:w="1148"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N</w:t>
            </w:r>
            <w:r w:rsidR="00701D24" w:rsidRPr="006C0249">
              <w:rPr>
                <w:rFonts w:asciiTheme="majorHAnsi" w:hAnsiTheme="majorHAnsi"/>
                <w:sz w:val="22"/>
                <w:szCs w:val="22"/>
              </w:rPr>
              <w:t>o</w:t>
            </w:r>
            <w:r w:rsidRPr="006C0249">
              <w:rPr>
                <w:rFonts w:asciiTheme="majorHAnsi" w:hAnsiTheme="majorHAnsi"/>
                <w:sz w:val="22"/>
                <w:szCs w:val="22"/>
              </w:rPr>
              <w:t>mbre d’enfants</w:t>
            </w:r>
          </w:p>
          <w:p w:rsidR="00701D24" w:rsidRPr="006C0249" w:rsidRDefault="00701D24" w:rsidP="00717F68">
            <w:pPr>
              <w:rPr>
                <w:rFonts w:asciiTheme="majorHAnsi" w:hAnsiTheme="majorHAnsi"/>
                <w:sz w:val="22"/>
                <w:szCs w:val="22"/>
              </w:rPr>
            </w:pPr>
            <w:r w:rsidRPr="006C0249">
              <w:rPr>
                <w:rFonts w:asciiTheme="majorHAnsi" w:hAnsiTheme="majorHAnsi"/>
                <w:sz w:val="22"/>
                <w:szCs w:val="22"/>
              </w:rPr>
              <w:t>dans la même famille</w:t>
            </w:r>
          </w:p>
        </w:tc>
        <w:tc>
          <w:tcPr>
            <w:tcW w:w="654"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1</w:t>
            </w:r>
          </w:p>
        </w:tc>
        <w:tc>
          <w:tcPr>
            <w:tcW w:w="654"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2</w:t>
            </w:r>
          </w:p>
        </w:tc>
        <w:tc>
          <w:tcPr>
            <w:tcW w:w="654" w:type="pct"/>
            <w:shd w:val="clear" w:color="auto" w:fill="auto"/>
          </w:tcPr>
          <w:p w:rsidR="00D724F6" w:rsidRPr="006C0249" w:rsidRDefault="00D724F6" w:rsidP="00D724F6">
            <w:pPr>
              <w:rPr>
                <w:rFonts w:asciiTheme="majorHAnsi" w:hAnsiTheme="majorHAnsi"/>
                <w:sz w:val="22"/>
                <w:szCs w:val="22"/>
              </w:rPr>
            </w:pPr>
            <w:r w:rsidRPr="006C0249">
              <w:rPr>
                <w:rFonts w:asciiTheme="majorHAnsi" w:hAnsiTheme="majorHAnsi"/>
                <w:sz w:val="22"/>
                <w:szCs w:val="22"/>
              </w:rPr>
              <w:t xml:space="preserve">3 </w:t>
            </w:r>
          </w:p>
        </w:tc>
        <w:tc>
          <w:tcPr>
            <w:tcW w:w="945" w:type="pct"/>
          </w:tcPr>
          <w:p w:rsidR="00D724F6" w:rsidRPr="006C0249" w:rsidRDefault="001B3CBA" w:rsidP="00701D24">
            <w:pPr>
              <w:rPr>
                <w:rFonts w:asciiTheme="majorHAnsi" w:hAnsiTheme="majorHAnsi"/>
                <w:sz w:val="22"/>
                <w:szCs w:val="22"/>
              </w:rPr>
            </w:pPr>
            <w:r w:rsidRPr="006C0249">
              <w:rPr>
                <w:rFonts w:asciiTheme="majorHAnsi" w:hAnsiTheme="majorHAnsi"/>
                <w:sz w:val="22"/>
                <w:szCs w:val="22"/>
              </w:rPr>
              <w:t>+ c</w:t>
            </w:r>
            <w:r w:rsidR="00D724F6" w:rsidRPr="006C0249">
              <w:rPr>
                <w:rFonts w:asciiTheme="majorHAnsi" w:hAnsiTheme="majorHAnsi"/>
                <w:sz w:val="22"/>
                <w:szCs w:val="22"/>
              </w:rPr>
              <w:t>oût</w:t>
            </w:r>
            <w:r w:rsidRPr="006C0249">
              <w:rPr>
                <w:rFonts w:asciiTheme="majorHAnsi" w:hAnsiTheme="majorHAnsi"/>
                <w:sz w:val="22"/>
                <w:szCs w:val="22"/>
              </w:rPr>
              <w:t xml:space="preserve"> additionnel </w:t>
            </w:r>
            <w:r w:rsidR="00D724F6" w:rsidRPr="006C0249">
              <w:rPr>
                <w:rFonts w:asciiTheme="majorHAnsi" w:hAnsiTheme="majorHAnsi"/>
                <w:sz w:val="22"/>
                <w:szCs w:val="22"/>
              </w:rPr>
              <w:t xml:space="preserve"> par enfant</w:t>
            </w:r>
            <w:r w:rsidRPr="006C0249">
              <w:rPr>
                <w:rFonts w:asciiTheme="majorHAnsi" w:hAnsiTheme="majorHAnsi"/>
                <w:sz w:val="22"/>
                <w:szCs w:val="22"/>
              </w:rPr>
              <w:t xml:space="preserve"> </w:t>
            </w:r>
            <w:r w:rsidR="00701D24" w:rsidRPr="006C0249">
              <w:rPr>
                <w:rFonts w:asciiTheme="majorHAnsi" w:hAnsiTheme="majorHAnsi"/>
                <w:sz w:val="22"/>
                <w:szCs w:val="22"/>
              </w:rPr>
              <w:t>(4,5 et +)</w:t>
            </w:r>
          </w:p>
        </w:tc>
        <w:tc>
          <w:tcPr>
            <w:tcW w:w="945"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Non-résident</w:t>
            </w:r>
          </w:p>
          <w:p w:rsidR="00D724F6" w:rsidRPr="006C0249" w:rsidRDefault="00D724F6" w:rsidP="00717F68">
            <w:pPr>
              <w:rPr>
                <w:rFonts w:asciiTheme="majorHAnsi" w:hAnsiTheme="majorHAnsi"/>
                <w:sz w:val="22"/>
                <w:szCs w:val="22"/>
              </w:rPr>
            </w:pPr>
            <w:r w:rsidRPr="006C0249">
              <w:rPr>
                <w:rFonts w:asciiTheme="majorHAnsi" w:hAnsiTheme="majorHAnsi"/>
                <w:sz w:val="22"/>
                <w:szCs w:val="22"/>
              </w:rPr>
              <w:t>Coût par enfant</w:t>
            </w:r>
          </w:p>
        </w:tc>
      </w:tr>
      <w:tr w:rsidR="00D724F6" w:rsidRPr="006C0249" w:rsidTr="00D724F6">
        <w:trPr>
          <w:trHeight w:val="561"/>
        </w:trPr>
        <w:tc>
          <w:tcPr>
            <w:tcW w:w="1148" w:type="pct"/>
            <w:shd w:val="clear" w:color="auto" w:fill="auto"/>
          </w:tcPr>
          <w:p w:rsidR="00D724F6" w:rsidRPr="006C0249" w:rsidRDefault="00D724F6" w:rsidP="00BE27CE">
            <w:pPr>
              <w:rPr>
                <w:rFonts w:asciiTheme="majorHAnsi" w:hAnsiTheme="majorHAnsi"/>
                <w:sz w:val="22"/>
                <w:szCs w:val="22"/>
              </w:rPr>
            </w:pPr>
            <w:r w:rsidRPr="006C0249">
              <w:rPr>
                <w:rFonts w:asciiTheme="majorHAnsi" w:hAnsiTheme="majorHAnsi"/>
                <w:sz w:val="22"/>
                <w:szCs w:val="22"/>
              </w:rPr>
              <w:t xml:space="preserve">Coût annuel </w:t>
            </w:r>
          </w:p>
        </w:tc>
        <w:tc>
          <w:tcPr>
            <w:tcW w:w="654"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160$</w:t>
            </w:r>
          </w:p>
        </w:tc>
        <w:tc>
          <w:tcPr>
            <w:tcW w:w="654" w:type="pct"/>
            <w:shd w:val="clear" w:color="auto" w:fill="auto"/>
          </w:tcPr>
          <w:p w:rsidR="00D724F6" w:rsidRPr="006C0249" w:rsidRDefault="00D724F6" w:rsidP="00D724F6">
            <w:pPr>
              <w:rPr>
                <w:rFonts w:asciiTheme="majorHAnsi" w:hAnsiTheme="majorHAnsi"/>
                <w:sz w:val="22"/>
                <w:szCs w:val="22"/>
              </w:rPr>
            </w:pPr>
            <w:r w:rsidRPr="006C0249">
              <w:rPr>
                <w:rFonts w:asciiTheme="majorHAnsi" w:hAnsiTheme="majorHAnsi"/>
                <w:sz w:val="22"/>
                <w:szCs w:val="22"/>
              </w:rPr>
              <w:t>315$</w:t>
            </w:r>
          </w:p>
        </w:tc>
        <w:tc>
          <w:tcPr>
            <w:tcW w:w="654"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465$</w:t>
            </w:r>
          </w:p>
        </w:tc>
        <w:tc>
          <w:tcPr>
            <w:tcW w:w="945" w:type="pct"/>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150$</w:t>
            </w:r>
          </w:p>
        </w:tc>
        <w:tc>
          <w:tcPr>
            <w:tcW w:w="945" w:type="pct"/>
            <w:shd w:val="clear" w:color="auto" w:fill="auto"/>
          </w:tcPr>
          <w:p w:rsidR="00D724F6" w:rsidRPr="006C0249" w:rsidRDefault="00D724F6" w:rsidP="00717F68">
            <w:pPr>
              <w:rPr>
                <w:rFonts w:asciiTheme="majorHAnsi" w:hAnsiTheme="majorHAnsi"/>
                <w:sz w:val="22"/>
                <w:szCs w:val="22"/>
              </w:rPr>
            </w:pPr>
            <w:r w:rsidRPr="006C0249">
              <w:rPr>
                <w:rFonts w:asciiTheme="majorHAnsi" w:hAnsiTheme="majorHAnsi"/>
                <w:sz w:val="22"/>
                <w:szCs w:val="22"/>
              </w:rPr>
              <w:t>200$</w:t>
            </w:r>
          </w:p>
        </w:tc>
      </w:tr>
    </w:tbl>
    <w:p w:rsidR="00BE27CE" w:rsidRPr="006C0249" w:rsidRDefault="00BE27CE" w:rsidP="00BE27CE">
      <w:pPr>
        <w:widowControl w:val="0"/>
        <w:jc w:val="both"/>
        <w:rPr>
          <w:rFonts w:asciiTheme="majorHAnsi" w:hAnsiTheme="majorHAnsi"/>
          <w:snapToGrid w:val="0"/>
          <w:sz w:val="22"/>
          <w:szCs w:val="22"/>
        </w:rPr>
      </w:pPr>
    </w:p>
    <w:p w:rsidR="00BE27CE" w:rsidRPr="006C0249" w:rsidRDefault="00915E73" w:rsidP="00BE27CE">
      <w:pPr>
        <w:pStyle w:val="Titre1"/>
        <w:rPr>
          <w:rFonts w:asciiTheme="majorHAnsi" w:hAnsiTheme="majorHAnsi"/>
          <w:sz w:val="22"/>
          <w:szCs w:val="22"/>
        </w:rPr>
      </w:pPr>
      <w:r w:rsidRPr="006C0249">
        <w:rPr>
          <w:rFonts w:asciiTheme="majorHAnsi" w:hAnsiTheme="majorHAnsi"/>
          <w:sz w:val="22"/>
          <w:szCs w:val="22"/>
        </w:rPr>
        <w:t>COÛT SERVICE DE GARDE PAR ENFANT</w:t>
      </w:r>
    </w:p>
    <w:p w:rsidR="00BE27CE" w:rsidRPr="006C0249" w:rsidRDefault="00BE27CE" w:rsidP="00BE27CE">
      <w:pPr>
        <w:rPr>
          <w:rFonts w:asciiTheme="majorHAnsi" w:hAnsiTheme="majorHAnsi"/>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510"/>
        <w:gridCol w:w="2552"/>
        <w:gridCol w:w="1843"/>
      </w:tblGrid>
      <w:tr w:rsidR="00BE27CE" w:rsidRPr="006C0249" w:rsidTr="00717F68">
        <w:trPr>
          <w:trHeight w:val="546"/>
        </w:trPr>
        <w:tc>
          <w:tcPr>
            <w:tcW w:w="3510" w:type="dxa"/>
            <w:tcBorders>
              <w:top w:val="single" w:sz="4" w:space="0" w:color="auto"/>
              <w:left w:val="single" w:sz="4" w:space="0" w:color="auto"/>
              <w:bottom w:val="single" w:sz="4" w:space="0" w:color="auto"/>
              <w:right w:val="single" w:sz="4" w:space="0" w:color="auto"/>
            </w:tcBorders>
            <w:shd w:val="clear" w:color="auto" w:fill="auto"/>
          </w:tcPr>
          <w:p w:rsidR="00BE27CE" w:rsidRPr="006C0249" w:rsidRDefault="00BE27CE" w:rsidP="00717F68">
            <w:pPr>
              <w:rPr>
                <w:rFonts w:asciiTheme="majorHAnsi" w:eastAsia="Calibri" w:hAnsiTheme="majorHAnsi"/>
                <w:b/>
                <w:bCs/>
                <w:sz w:val="22"/>
                <w:szCs w:val="22"/>
              </w:rPr>
            </w:pPr>
            <w:r w:rsidRPr="006C0249">
              <w:rPr>
                <w:rFonts w:asciiTheme="majorHAnsi" w:eastAsia="Calibri" w:hAnsiTheme="majorHAnsi"/>
                <w:b/>
                <w:bCs/>
                <w:sz w:val="22"/>
                <w:szCs w:val="22"/>
              </w:rPr>
              <w:t>Nombre de jours de garde</w:t>
            </w:r>
          </w:p>
        </w:tc>
        <w:tc>
          <w:tcPr>
            <w:tcW w:w="2552" w:type="dxa"/>
            <w:tcBorders>
              <w:left w:val="single" w:sz="4" w:space="0" w:color="auto"/>
            </w:tcBorders>
            <w:shd w:val="clear" w:color="auto" w:fill="auto"/>
          </w:tcPr>
          <w:p w:rsidR="00BE27CE" w:rsidRPr="006C0249" w:rsidRDefault="00BE27CE" w:rsidP="00717F68">
            <w:pPr>
              <w:rPr>
                <w:rFonts w:asciiTheme="majorHAnsi" w:eastAsia="Calibri" w:hAnsiTheme="majorHAnsi"/>
                <w:sz w:val="22"/>
                <w:szCs w:val="22"/>
              </w:rPr>
            </w:pPr>
            <w:r w:rsidRPr="006C0249">
              <w:rPr>
                <w:rFonts w:asciiTheme="majorHAnsi" w:eastAsia="Calibri" w:hAnsiTheme="majorHAnsi"/>
                <w:sz w:val="22"/>
                <w:szCs w:val="22"/>
              </w:rPr>
              <w:t xml:space="preserve">17 jours </w:t>
            </w:r>
          </w:p>
          <w:p w:rsidR="00D724F6" w:rsidRPr="006C0249" w:rsidRDefault="00D724F6" w:rsidP="00717F68">
            <w:pPr>
              <w:rPr>
                <w:rFonts w:asciiTheme="majorHAnsi" w:eastAsia="Calibri" w:hAnsiTheme="majorHAnsi"/>
                <w:sz w:val="22"/>
                <w:szCs w:val="22"/>
              </w:rPr>
            </w:pPr>
            <w:r w:rsidRPr="006C0249">
              <w:rPr>
                <w:rFonts w:asciiTheme="majorHAnsi" w:hAnsiTheme="majorHAnsi"/>
                <w:sz w:val="22"/>
                <w:szCs w:val="22"/>
              </w:rPr>
              <w:t>par enfant</w:t>
            </w:r>
          </w:p>
        </w:tc>
        <w:tc>
          <w:tcPr>
            <w:tcW w:w="1843" w:type="dxa"/>
            <w:shd w:val="clear" w:color="auto" w:fill="auto"/>
          </w:tcPr>
          <w:p w:rsidR="00BE27CE" w:rsidRPr="006C0249" w:rsidRDefault="00BE27CE" w:rsidP="00717F68">
            <w:pPr>
              <w:rPr>
                <w:rFonts w:asciiTheme="majorHAnsi" w:eastAsia="Calibri" w:hAnsiTheme="majorHAnsi"/>
                <w:sz w:val="22"/>
                <w:szCs w:val="22"/>
              </w:rPr>
            </w:pPr>
            <w:r w:rsidRPr="006C0249">
              <w:rPr>
                <w:rFonts w:asciiTheme="majorHAnsi" w:eastAsia="Calibri" w:hAnsiTheme="majorHAnsi"/>
                <w:sz w:val="22"/>
                <w:szCs w:val="22"/>
              </w:rPr>
              <w:t>Été complet</w:t>
            </w:r>
          </w:p>
          <w:p w:rsidR="00D724F6" w:rsidRPr="006C0249" w:rsidRDefault="00D724F6" w:rsidP="00717F68">
            <w:pPr>
              <w:rPr>
                <w:rFonts w:asciiTheme="majorHAnsi" w:eastAsia="Calibri" w:hAnsiTheme="majorHAnsi"/>
                <w:sz w:val="22"/>
                <w:szCs w:val="22"/>
              </w:rPr>
            </w:pPr>
            <w:r w:rsidRPr="006C0249">
              <w:rPr>
                <w:rFonts w:asciiTheme="majorHAnsi" w:hAnsiTheme="majorHAnsi"/>
                <w:sz w:val="22"/>
                <w:szCs w:val="22"/>
              </w:rPr>
              <w:t>par enfant</w:t>
            </w:r>
          </w:p>
        </w:tc>
      </w:tr>
      <w:tr w:rsidR="00BE27CE" w:rsidRPr="006C0249" w:rsidTr="00717F68">
        <w:trPr>
          <w:trHeight w:val="427"/>
        </w:trPr>
        <w:tc>
          <w:tcPr>
            <w:tcW w:w="3510" w:type="dxa"/>
            <w:tcBorders>
              <w:top w:val="single" w:sz="4" w:space="0" w:color="auto"/>
              <w:left w:val="single" w:sz="4" w:space="0" w:color="auto"/>
              <w:bottom w:val="single" w:sz="4" w:space="0" w:color="auto"/>
              <w:right w:val="single" w:sz="4" w:space="0" w:color="auto"/>
            </w:tcBorders>
            <w:shd w:val="clear" w:color="auto" w:fill="auto"/>
          </w:tcPr>
          <w:p w:rsidR="00BE27CE" w:rsidRPr="006C0249" w:rsidRDefault="00BE27CE" w:rsidP="00D724F6">
            <w:pPr>
              <w:rPr>
                <w:rFonts w:asciiTheme="majorHAnsi" w:eastAsia="Calibri" w:hAnsiTheme="majorHAnsi"/>
                <w:bCs/>
                <w:sz w:val="22"/>
                <w:szCs w:val="22"/>
              </w:rPr>
            </w:pPr>
            <w:r w:rsidRPr="006C0249">
              <w:rPr>
                <w:rFonts w:asciiTheme="majorHAnsi" w:eastAsia="Calibri" w:hAnsiTheme="majorHAnsi"/>
                <w:bCs/>
                <w:sz w:val="22"/>
                <w:szCs w:val="22"/>
              </w:rPr>
              <w:t xml:space="preserve">Coût </w:t>
            </w:r>
            <w:r w:rsidR="00D724F6" w:rsidRPr="006C0249">
              <w:rPr>
                <w:rFonts w:asciiTheme="majorHAnsi" w:hAnsiTheme="majorHAnsi"/>
                <w:sz w:val="22"/>
                <w:szCs w:val="22"/>
              </w:rPr>
              <w:t>par enfant</w:t>
            </w:r>
          </w:p>
        </w:tc>
        <w:tc>
          <w:tcPr>
            <w:tcW w:w="2552" w:type="dxa"/>
            <w:tcBorders>
              <w:left w:val="single" w:sz="4" w:space="0" w:color="auto"/>
            </w:tcBorders>
            <w:shd w:val="clear" w:color="auto" w:fill="auto"/>
          </w:tcPr>
          <w:p w:rsidR="00BE27CE" w:rsidRPr="006C0249" w:rsidRDefault="00BE27CE" w:rsidP="00717F68">
            <w:pPr>
              <w:rPr>
                <w:rFonts w:asciiTheme="majorHAnsi" w:eastAsia="Calibri" w:hAnsiTheme="majorHAnsi"/>
                <w:sz w:val="22"/>
                <w:szCs w:val="22"/>
              </w:rPr>
            </w:pPr>
            <w:r w:rsidRPr="006C0249">
              <w:rPr>
                <w:rFonts w:asciiTheme="majorHAnsi" w:eastAsia="Calibri" w:hAnsiTheme="majorHAnsi"/>
                <w:sz w:val="22"/>
                <w:szCs w:val="22"/>
              </w:rPr>
              <w:t>60$</w:t>
            </w:r>
          </w:p>
        </w:tc>
        <w:tc>
          <w:tcPr>
            <w:tcW w:w="1843" w:type="dxa"/>
            <w:shd w:val="clear" w:color="auto" w:fill="auto"/>
          </w:tcPr>
          <w:p w:rsidR="00BE27CE" w:rsidRPr="006C0249" w:rsidRDefault="00BE27CE" w:rsidP="00717F68">
            <w:pPr>
              <w:rPr>
                <w:rFonts w:asciiTheme="majorHAnsi" w:eastAsia="Calibri" w:hAnsiTheme="majorHAnsi"/>
                <w:sz w:val="22"/>
                <w:szCs w:val="22"/>
              </w:rPr>
            </w:pPr>
            <w:r w:rsidRPr="006C0249">
              <w:rPr>
                <w:rFonts w:asciiTheme="majorHAnsi" w:eastAsia="Calibri" w:hAnsiTheme="majorHAnsi"/>
                <w:sz w:val="22"/>
                <w:szCs w:val="22"/>
              </w:rPr>
              <w:t>95$</w:t>
            </w:r>
          </w:p>
        </w:tc>
      </w:tr>
    </w:tbl>
    <w:p w:rsidR="00BE27CE" w:rsidRPr="006C0249" w:rsidRDefault="00BE27CE" w:rsidP="00BE27CE">
      <w:pPr>
        <w:widowControl w:val="0"/>
        <w:jc w:val="both"/>
        <w:rPr>
          <w:rFonts w:asciiTheme="majorHAnsi" w:hAnsiTheme="majorHAnsi"/>
          <w:snapToGrid w:val="0"/>
          <w:sz w:val="22"/>
          <w:szCs w:val="22"/>
        </w:rPr>
      </w:pPr>
      <w:r w:rsidRPr="006C0249">
        <w:rPr>
          <w:rFonts w:asciiTheme="majorHAnsi" w:hAnsiTheme="majorHAnsi"/>
          <w:snapToGrid w:val="0"/>
          <w:sz w:val="22"/>
          <w:szCs w:val="22"/>
        </w:rPr>
        <w:t xml:space="preserve"> </w:t>
      </w:r>
    </w:p>
    <w:p w:rsidR="00BE27CE" w:rsidRPr="006C0249" w:rsidRDefault="00BE27CE" w:rsidP="00914322">
      <w:pPr>
        <w:jc w:val="both"/>
        <w:rPr>
          <w:rFonts w:asciiTheme="majorHAnsi" w:hAnsiTheme="majorHAnsi"/>
          <w:b/>
          <w:bCs/>
          <w:smallCaps/>
          <w:sz w:val="22"/>
          <w:szCs w:val="22"/>
        </w:rPr>
      </w:pPr>
    </w:p>
    <w:p w:rsidR="00914322" w:rsidRPr="006C0249" w:rsidRDefault="00BE27CE" w:rsidP="00914322">
      <w:pPr>
        <w:jc w:val="both"/>
        <w:rPr>
          <w:rFonts w:asciiTheme="majorHAnsi" w:hAnsiTheme="majorHAnsi"/>
          <w:b/>
          <w:bCs/>
          <w:smallCaps/>
          <w:sz w:val="22"/>
          <w:szCs w:val="22"/>
        </w:rPr>
      </w:pPr>
      <w:r w:rsidRPr="006C0249">
        <w:rPr>
          <w:rFonts w:asciiTheme="majorHAnsi" w:hAnsiTheme="majorHAnsi"/>
          <w:b/>
          <w:bCs/>
          <w:smallCaps/>
          <w:sz w:val="22"/>
          <w:szCs w:val="22"/>
        </w:rPr>
        <w:t xml:space="preserve">ARTICLE 12 </w:t>
      </w:r>
      <w:r w:rsidR="00914322" w:rsidRPr="006C0249">
        <w:rPr>
          <w:rFonts w:asciiTheme="majorHAnsi" w:hAnsiTheme="majorHAnsi"/>
          <w:b/>
          <w:bCs/>
          <w:smallCaps/>
          <w:sz w:val="22"/>
          <w:szCs w:val="22"/>
        </w:rPr>
        <w:t>LICENCE POUR CHIEN ET CHAT</w:t>
      </w:r>
    </w:p>
    <w:p w:rsidR="00914322" w:rsidRPr="006C0249" w:rsidRDefault="00914322" w:rsidP="00914322">
      <w:pPr>
        <w:jc w:val="both"/>
        <w:rPr>
          <w:rFonts w:asciiTheme="majorHAnsi" w:hAnsiTheme="majorHAnsi"/>
          <w:sz w:val="22"/>
          <w:szCs w:val="22"/>
        </w:rPr>
      </w:pPr>
    </w:p>
    <w:p w:rsidR="00914322" w:rsidRPr="006C0249" w:rsidRDefault="00914322" w:rsidP="00914322">
      <w:pPr>
        <w:jc w:val="both"/>
        <w:rPr>
          <w:rFonts w:asciiTheme="majorHAnsi" w:hAnsiTheme="majorHAnsi"/>
          <w:sz w:val="22"/>
          <w:szCs w:val="22"/>
        </w:rPr>
      </w:pPr>
      <w:r w:rsidRPr="006C0249">
        <w:rPr>
          <w:rFonts w:asciiTheme="majorHAnsi" w:hAnsiTheme="majorHAnsi"/>
          <w:sz w:val="22"/>
          <w:szCs w:val="22"/>
        </w:rPr>
        <w:t>Le taux pour obtenir une licence de chien et chat  auprès de la SPA est fixé, pour l’année, selon ce qui suit :</w:t>
      </w:r>
    </w:p>
    <w:p w:rsidR="00914322" w:rsidRPr="006C0249" w:rsidRDefault="00914322" w:rsidP="00914322">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Chien stérilisé</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40$</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Chien non stérilisé</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50$</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Chat stérilisé</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30$</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Chat non stérilisé</w:t>
            </w:r>
          </w:p>
        </w:tc>
        <w:tc>
          <w:tcPr>
            <w:tcW w:w="1868" w:type="dxa"/>
            <w:shd w:val="clear" w:color="auto" w:fill="auto"/>
          </w:tcPr>
          <w:p w:rsidR="00914322" w:rsidRPr="006C0249" w:rsidRDefault="00914322" w:rsidP="003B25DC">
            <w:pPr>
              <w:jc w:val="both"/>
              <w:rPr>
                <w:rFonts w:asciiTheme="majorHAnsi" w:eastAsia="Calibri" w:hAnsiTheme="majorHAnsi"/>
                <w:sz w:val="22"/>
                <w:szCs w:val="22"/>
              </w:rPr>
            </w:pPr>
            <w:r w:rsidRPr="006C0249">
              <w:rPr>
                <w:rFonts w:asciiTheme="majorHAnsi" w:eastAsia="Calibri" w:hAnsiTheme="majorHAnsi"/>
                <w:sz w:val="22"/>
                <w:szCs w:val="22"/>
              </w:rPr>
              <w:t>40$</w:t>
            </w:r>
          </w:p>
        </w:tc>
      </w:tr>
    </w:tbl>
    <w:p w:rsidR="00BE27CE" w:rsidRPr="006C0249" w:rsidRDefault="00BE27CE" w:rsidP="00914322">
      <w:pPr>
        <w:jc w:val="both"/>
        <w:rPr>
          <w:rFonts w:asciiTheme="majorHAnsi" w:hAnsiTheme="majorHAnsi" w:cs="Arial"/>
          <w:b/>
          <w:sz w:val="22"/>
          <w:szCs w:val="22"/>
        </w:rPr>
      </w:pPr>
    </w:p>
    <w:p w:rsidR="00914322" w:rsidRPr="006C0249" w:rsidRDefault="00BE27CE" w:rsidP="00914322">
      <w:pPr>
        <w:jc w:val="both"/>
        <w:rPr>
          <w:rFonts w:asciiTheme="majorHAnsi" w:hAnsiTheme="majorHAnsi" w:cs="Arial"/>
          <w:b/>
          <w:sz w:val="22"/>
          <w:szCs w:val="22"/>
        </w:rPr>
      </w:pPr>
      <w:r w:rsidRPr="006C0249">
        <w:rPr>
          <w:rFonts w:asciiTheme="majorHAnsi" w:hAnsiTheme="majorHAnsi" w:cs="Arial"/>
          <w:b/>
          <w:sz w:val="22"/>
          <w:szCs w:val="22"/>
        </w:rPr>
        <w:t>ARTICLE 13</w:t>
      </w:r>
      <w:r w:rsidR="00914322" w:rsidRPr="006C0249">
        <w:rPr>
          <w:rFonts w:asciiTheme="majorHAnsi" w:hAnsiTheme="majorHAnsi" w:cs="Arial"/>
          <w:b/>
          <w:sz w:val="22"/>
          <w:szCs w:val="22"/>
        </w:rPr>
        <w:tab/>
        <w:t>AUTRES TARIFS FRAIS D’ADMINISTRATION</w:t>
      </w:r>
    </w:p>
    <w:p w:rsidR="00914322" w:rsidRPr="006C0249" w:rsidRDefault="00914322" w:rsidP="00914322">
      <w:pPr>
        <w:jc w:val="both"/>
        <w:rPr>
          <w:rFonts w:asciiTheme="majorHAnsi" w:hAnsiTheme="maj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68"/>
      </w:tblGrid>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Chèque sans provision</w:t>
            </w:r>
          </w:p>
        </w:tc>
        <w:tc>
          <w:tcPr>
            <w:tcW w:w="1868" w:type="dxa"/>
            <w:shd w:val="clear" w:color="auto" w:fill="auto"/>
          </w:tcPr>
          <w:p w:rsidR="00914322" w:rsidRPr="006C0249" w:rsidRDefault="00BE27CE"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20$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Envoi courriel recommandé pour taxes ou factures impayées</w:t>
            </w:r>
          </w:p>
        </w:tc>
        <w:tc>
          <w:tcPr>
            <w:tcW w:w="1868" w:type="dxa"/>
            <w:shd w:val="clear" w:color="auto" w:fill="auto"/>
          </w:tcPr>
          <w:p w:rsidR="00914322" w:rsidRPr="006C0249" w:rsidRDefault="00BE27CE" w:rsidP="00191777">
            <w:pPr>
              <w:jc w:val="both"/>
              <w:rPr>
                <w:rFonts w:asciiTheme="majorHAnsi" w:eastAsia="Calibri" w:hAnsiTheme="majorHAnsi" w:cs="Arial"/>
                <w:sz w:val="22"/>
                <w:szCs w:val="22"/>
              </w:rPr>
            </w:pPr>
            <w:r w:rsidRPr="006C0249">
              <w:rPr>
                <w:rFonts w:asciiTheme="majorHAnsi" w:eastAsia="Calibri" w:hAnsiTheme="majorHAnsi" w:cs="Arial"/>
                <w:sz w:val="22"/>
                <w:szCs w:val="22"/>
              </w:rPr>
              <w:t xml:space="preserve">25$ </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Photocopie par feuille</w:t>
            </w:r>
          </w:p>
        </w:tc>
        <w:tc>
          <w:tcPr>
            <w:tcW w:w="1868"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0.25$</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Télécopie local</w:t>
            </w:r>
          </w:p>
        </w:tc>
        <w:tc>
          <w:tcPr>
            <w:tcW w:w="1868"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1$</w:t>
            </w:r>
          </w:p>
        </w:tc>
      </w:tr>
      <w:tr w:rsidR="00914322" w:rsidRPr="006C0249" w:rsidTr="003B25DC">
        <w:tc>
          <w:tcPr>
            <w:tcW w:w="6912"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Télécopie interurbain</w:t>
            </w:r>
          </w:p>
        </w:tc>
        <w:tc>
          <w:tcPr>
            <w:tcW w:w="1868" w:type="dxa"/>
            <w:shd w:val="clear" w:color="auto" w:fill="auto"/>
          </w:tcPr>
          <w:p w:rsidR="00914322" w:rsidRPr="006C0249" w:rsidRDefault="00914322" w:rsidP="003B25DC">
            <w:pPr>
              <w:jc w:val="both"/>
              <w:rPr>
                <w:rFonts w:asciiTheme="majorHAnsi" w:eastAsia="Calibri" w:hAnsiTheme="majorHAnsi" w:cs="Arial"/>
                <w:sz w:val="22"/>
                <w:szCs w:val="22"/>
              </w:rPr>
            </w:pPr>
            <w:r w:rsidRPr="006C0249">
              <w:rPr>
                <w:rFonts w:asciiTheme="majorHAnsi" w:eastAsia="Calibri" w:hAnsiTheme="majorHAnsi" w:cs="Arial"/>
                <w:sz w:val="22"/>
                <w:szCs w:val="22"/>
              </w:rPr>
              <w:t>2$</w:t>
            </w:r>
          </w:p>
        </w:tc>
      </w:tr>
    </w:tbl>
    <w:p w:rsidR="00914322" w:rsidRPr="006C0249" w:rsidRDefault="00914322" w:rsidP="00914322">
      <w:pPr>
        <w:jc w:val="both"/>
        <w:rPr>
          <w:rFonts w:asciiTheme="majorHAnsi" w:hAnsiTheme="majorHAnsi"/>
          <w:sz w:val="22"/>
          <w:szCs w:val="22"/>
        </w:rPr>
      </w:pPr>
    </w:p>
    <w:p w:rsidR="00914322" w:rsidRPr="006C0249" w:rsidRDefault="00BE27CE" w:rsidP="00914322">
      <w:pPr>
        <w:jc w:val="both"/>
        <w:rPr>
          <w:rFonts w:asciiTheme="majorHAnsi" w:hAnsiTheme="majorHAnsi" w:cs="Arial"/>
          <w:b/>
          <w:sz w:val="22"/>
          <w:szCs w:val="22"/>
        </w:rPr>
      </w:pPr>
      <w:r w:rsidRPr="006C0249">
        <w:rPr>
          <w:rFonts w:asciiTheme="majorHAnsi" w:hAnsiTheme="majorHAnsi" w:cs="Arial"/>
          <w:b/>
          <w:sz w:val="22"/>
          <w:szCs w:val="22"/>
        </w:rPr>
        <w:t>ARTICLE 14</w:t>
      </w:r>
      <w:r w:rsidR="00914322" w:rsidRPr="006C0249">
        <w:rPr>
          <w:rFonts w:asciiTheme="majorHAnsi" w:hAnsiTheme="majorHAnsi" w:cs="Arial"/>
          <w:b/>
          <w:sz w:val="22"/>
          <w:szCs w:val="22"/>
        </w:rPr>
        <w:tab/>
        <w:t>NOMBRE ET DATE DES VERSEMENTS</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Le conseil municipal décrète que la taxe foncière et toutes les autres taxes ou compensations, seront payables en </w:t>
      </w:r>
      <w:r w:rsidRPr="006C0249">
        <w:rPr>
          <w:rFonts w:asciiTheme="majorHAnsi" w:hAnsiTheme="majorHAnsi" w:cs="Arial"/>
          <w:b/>
          <w:sz w:val="22"/>
          <w:szCs w:val="22"/>
        </w:rPr>
        <w:t>quatre (4) versements</w:t>
      </w:r>
      <w:r w:rsidRPr="006C0249">
        <w:rPr>
          <w:rFonts w:asciiTheme="majorHAnsi" w:hAnsiTheme="majorHAnsi" w:cs="Arial"/>
          <w:sz w:val="22"/>
          <w:szCs w:val="22"/>
        </w:rPr>
        <w:t xml:space="preserve"> égaux,</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1</w:t>
      </w:r>
      <w:r w:rsidRPr="006C0249">
        <w:rPr>
          <w:rFonts w:asciiTheme="majorHAnsi" w:hAnsiTheme="majorHAnsi" w:cs="Arial"/>
          <w:sz w:val="22"/>
          <w:szCs w:val="22"/>
          <w:vertAlign w:val="superscript"/>
        </w:rPr>
        <w:t xml:space="preserve">er </w:t>
      </w:r>
      <w:r w:rsidRPr="006C0249">
        <w:rPr>
          <w:rFonts w:asciiTheme="majorHAnsi" w:hAnsiTheme="majorHAnsi" w:cs="Arial"/>
          <w:sz w:val="22"/>
          <w:szCs w:val="22"/>
        </w:rPr>
        <w:t xml:space="preserve">versement : 30 jours après la date de facturation de taxes indiquée au compte; </w:t>
      </w: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2</w:t>
      </w:r>
      <w:r w:rsidRPr="006C0249">
        <w:rPr>
          <w:rFonts w:asciiTheme="majorHAnsi" w:hAnsiTheme="majorHAnsi" w:cs="Arial"/>
          <w:sz w:val="22"/>
          <w:szCs w:val="22"/>
          <w:vertAlign w:val="superscript"/>
        </w:rPr>
        <w:t>e</w:t>
      </w:r>
      <w:r w:rsidRPr="006C0249">
        <w:rPr>
          <w:rFonts w:asciiTheme="majorHAnsi" w:hAnsiTheme="majorHAnsi" w:cs="Arial"/>
          <w:sz w:val="22"/>
          <w:szCs w:val="22"/>
        </w:rPr>
        <w:t xml:space="preserve"> versement : 60 jours après la date d’exigibilité du premier versement;</w:t>
      </w: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3</w:t>
      </w:r>
      <w:r w:rsidRPr="006C0249">
        <w:rPr>
          <w:rFonts w:asciiTheme="majorHAnsi" w:hAnsiTheme="majorHAnsi" w:cs="Arial"/>
          <w:sz w:val="22"/>
          <w:szCs w:val="22"/>
          <w:vertAlign w:val="superscript"/>
        </w:rPr>
        <w:t>e</w:t>
      </w:r>
      <w:r w:rsidRPr="006C0249">
        <w:rPr>
          <w:rFonts w:asciiTheme="majorHAnsi" w:hAnsiTheme="majorHAnsi" w:cs="Arial"/>
          <w:sz w:val="22"/>
          <w:szCs w:val="22"/>
        </w:rPr>
        <w:t xml:space="preserve"> versement : 60 jours après la date d’exigibilité du versement précédent;</w:t>
      </w: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4</w:t>
      </w:r>
      <w:r w:rsidRPr="006C0249">
        <w:rPr>
          <w:rFonts w:asciiTheme="majorHAnsi" w:hAnsiTheme="majorHAnsi" w:cs="Arial"/>
          <w:sz w:val="22"/>
          <w:szCs w:val="22"/>
          <w:vertAlign w:val="superscript"/>
        </w:rPr>
        <w:t>e</w:t>
      </w:r>
      <w:r w:rsidRPr="006C0249">
        <w:rPr>
          <w:rFonts w:asciiTheme="majorHAnsi" w:hAnsiTheme="majorHAnsi" w:cs="Arial"/>
          <w:sz w:val="22"/>
          <w:szCs w:val="22"/>
        </w:rPr>
        <w:t xml:space="preserve"> versement : 60 jours après la date d’exigibilité du versement précédent;</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lastRenderedPageBreak/>
        <w:t xml:space="preserve">Les comptes de taxes dont le total est inférieur à trois cents (300$) doivent être payés en un (1) seul versement unique. </w:t>
      </w:r>
    </w:p>
    <w:p w:rsidR="00914322" w:rsidRPr="006C0249" w:rsidRDefault="00914322" w:rsidP="00914322">
      <w:pPr>
        <w:jc w:val="both"/>
        <w:rPr>
          <w:rFonts w:asciiTheme="majorHAnsi" w:hAnsiTheme="majorHAnsi" w:cs="Arial"/>
          <w:b/>
          <w:sz w:val="22"/>
          <w:szCs w:val="22"/>
        </w:rPr>
      </w:pPr>
    </w:p>
    <w:p w:rsidR="00914322" w:rsidRPr="006C0249" w:rsidRDefault="00BE27CE" w:rsidP="00914322">
      <w:pPr>
        <w:jc w:val="both"/>
        <w:rPr>
          <w:rFonts w:asciiTheme="majorHAnsi" w:hAnsiTheme="majorHAnsi" w:cs="Arial"/>
          <w:b/>
          <w:sz w:val="22"/>
          <w:szCs w:val="22"/>
        </w:rPr>
      </w:pPr>
      <w:r w:rsidRPr="006C0249">
        <w:rPr>
          <w:rFonts w:asciiTheme="majorHAnsi" w:hAnsiTheme="majorHAnsi" w:cs="Arial"/>
          <w:b/>
          <w:sz w:val="22"/>
          <w:szCs w:val="22"/>
        </w:rPr>
        <w:t>ARTICLE 15</w:t>
      </w:r>
      <w:r w:rsidR="00914322" w:rsidRPr="006C0249">
        <w:rPr>
          <w:rFonts w:asciiTheme="majorHAnsi" w:hAnsiTheme="majorHAnsi" w:cs="Arial"/>
          <w:b/>
          <w:sz w:val="22"/>
          <w:szCs w:val="22"/>
        </w:rPr>
        <w:tab/>
        <w:t>CORRECTIONS AU RÔLE D’ÉVALUATION</w:t>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sz w:val="22"/>
          <w:szCs w:val="22"/>
        </w:rPr>
        <w:t>Les dispositions de l’article 13 s’appliquent également aux suppléments de taxes municipales ainsi qu’à toutes taxes exigibles générées suite à une mise à jour ou une correction au rôle d’évaluation.</w:t>
      </w:r>
    </w:p>
    <w:p w:rsidR="00914322" w:rsidRPr="006C0249" w:rsidRDefault="00914322" w:rsidP="00914322">
      <w:pPr>
        <w:jc w:val="both"/>
        <w:rPr>
          <w:rFonts w:asciiTheme="majorHAnsi" w:hAnsiTheme="majorHAnsi" w:cs="Arial"/>
          <w:b/>
          <w:sz w:val="22"/>
          <w:szCs w:val="22"/>
        </w:rPr>
      </w:pPr>
    </w:p>
    <w:p w:rsidR="00914322" w:rsidRPr="006C0249" w:rsidRDefault="00BE27CE" w:rsidP="00914322">
      <w:pPr>
        <w:jc w:val="both"/>
        <w:rPr>
          <w:rFonts w:asciiTheme="majorHAnsi" w:hAnsiTheme="majorHAnsi" w:cs="Arial"/>
          <w:sz w:val="22"/>
          <w:szCs w:val="22"/>
        </w:rPr>
      </w:pPr>
      <w:r w:rsidRPr="006C0249">
        <w:rPr>
          <w:rFonts w:asciiTheme="majorHAnsi" w:hAnsiTheme="majorHAnsi" w:cs="Arial"/>
          <w:b/>
          <w:sz w:val="22"/>
          <w:szCs w:val="22"/>
        </w:rPr>
        <w:t>ARTICLE 16</w:t>
      </w:r>
      <w:r w:rsidR="00914322" w:rsidRPr="006C0249">
        <w:rPr>
          <w:rFonts w:asciiTheme="majorHAnsi" w:hAnsiTheme="majorHAnsi" w:cs="Arial"/>
          <w:sz w:val="22"/>
          <w:szCs w:val="22"/>
        </w:rPr>
        <w:tab/>
      </w:r>
      <w:r w:rsidR="00914322" w:rsidRPr="006C0249">
        <w:rPr>
          <w:rFonts w:asciiTheme="majorHAnsi" w:hAnsiTheme="majorHAnsi" w:cs="Arial"/>
          <w:b/>
          <w:sz w:val="22"/>
          <w:szCs w:val="22"/>
        </w:rPr>
        <w:t xml:space="preserve">VERSEMENT  EXIGIBLE, TAUX D’INTÉRÊT ET PÉNALITÉ. </w:t>
      </w:r>
      <w:r w:rsidR="00914322" w:rsidRPr="006C0249">
        <w:rPr>
          <w:rFonts w:asciiTheme="majorHAnsi" w:hAnsiTheme="majorHAnsi" w:cs="Arial"/>
          <w:b/>
          <w:sz w:val="22"/>
          <w:szCs w:val="22"/>
        </w:rPr>
        <w:tab/>
      </w:r>
    </w:p>
    <w:p w:rsidR="00914322" w:rsidRPr="006C0249" w:rsidRDefault="00914322"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 xml:space="preserve">Lorsqu'un versement n'est pas fait à son échéance, seul le montant du versement est alors exigible et porte intérêt à un taux de </w:t>
      </w:r>
      <w:r w:rsidRPr="006C0249">
        <w:rPr>
          <w:rFonts w:asciiTheme="majorHAnsi" w:hAnsiTheme="majorHAnsi" w:cs="Arial"/>
          <w:b/>
          <w:sz w:val="22"/>
          <w:szCs w:val="22"/>
        </w:rPr>
        <w:t>8%</w:t>
      </w:r>
      <w:r w:rsidRPr="006C0249">
        <w:rPr>
          <w:rFonts w:asciiTheme="majorHAnsi" w:hAnsiTheme="majorHAnsi" w:cs="Arial"/>
          <w:sz w:val="22"/>
          <w:szCs w:val="22"/>
        </w:rPr>
        <w:t xml:space="preserve"> par année, auquel s’ajoute une pénalité de </w:t>
      </w:r>
      <w:r w:rsidRPr="006C0249">
        <w:rPr>
          <w:rFonts w:asciiTheme="majorHAnsi" w:hAnsiTheme="majorHAnsi" w:cs="Arial"/>
          <w:b/>
          <w:sz w:val="22"/>
          <w:szCs w:val="22"/>
        </w:rPr>
        <w:t>5%</w:t>
      </w:r>
      <w:r w:rsidRPr="006C0249">
        <w:rPr>
          <w:rFonts w:asciiTheme="majorHAnsi" w:hAnsiTheme="majorHAnsi" w:cs="Arial"/>
          <w:sz w:val="22"/>
          <w:szCs w:val="22"/>
        </w:rPr>
        <w:t xml:space="preserve"> par année donc un total de </w:t>
      </w:r>
      <w:r w:rsidRPr="006C0249">
        <w:rPr>
          <w:rFonts w:asciiTheme="majorHAnsi" w:hAnsiTheme="majorHAnsi" w:cs="Arial"/>
          <w:b/>
          <w:sz w:val="22"/>
          <w:szCs w:val="22"/>
        </w:rPr>
        <w:t>13% intérêt et pénalité</w:t>
      </w:r>
      <w:r w:rsidRPr="006C0249">
        <w:rPr>
          <w:rFonts w:asciiTheme="majorHAnsi" w:hAnsiTheme="majorHAnsi" w:cs="Arial"/>
          <w:sz w:val="22"/>
          <w:szCs w:val="22"/>
        </w:rPr>
        <w:t>.</w:t>
      </w:r>
    </w:p>
    <w:p w:rsidR="00914322" w:rsidRPr="006C0249" w:rsidRDefault="00914322" w:rsidP="00914322">
      <w:pPr>
        <w:jc w:val="both"/>
        <w:rPr>
          <w:rFonts w:asciiTheme="majorHAnsi" w:hAnsiTheme="majorHAnsi" w:cs="Arial"/>
          <w:sz w:val="22"/>
          <w:szCs w:val="22"/>
        </w:rPr>
      </w:pPr>
    </w:p>
    <w:p w:rsidR="00914322" w:rsidRPr="006C0249" w:rsidRDefault="00BE27CE" w:rsidP="00914322">
      <w:pPr>
        <w:jc w:val="both"/>
        <w:rPr>
          <w:rFonts w:asciiTheme="majorHAnsi" w:hAnsiTheme="majorHAnsi" w:cs="Arial"/>
          <w:sz w:val="22"/>
          <w:szCs w:val="22"/>
        </w:rPr>
      </w:pPr>
      <w:r w:rsidRPr="006C0249">
        <w:rPr>
          <w:rFonts w:asciiTheme="majorHAnsi" w:hAnsiTheme="majorHAnsi" w:cs="Arial"/>
          <w:b/>
          <w:sz w:val="22"/>
          <w:szCs w:val="22"/>
        </w:rPr>
        <w:t>ARTICLE 17</w:t>
      </w: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b/>
          <w:sz w:val="22"/>
          <w:szCs w:val="22"/>
        </w:rPr>
        <w:t>ENTRÉE EN VIGUEUR</w:t>
      </w:r>
    </w:p>
    <w:p w:rsidR="00914322" w:rsidRPr="006C0249" w:rsidRDefault="00914322" w:rsidP="00914322">
      <w:pPr>
        <w:jc w:val="both"/>
        <w:rPr>
          <w:rFonts w:asciiTheme="majorHAnsi" w:hAnsiTheme="majorHAnsi" w:cs="Arial"/>
          <w:b/>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Le présent règlement entre en vigueur selon la Loi.</w:t>
      </w:r>
    </w:p>
    <w:p w:rsidR="00BE27CE" w:rsidRPr="006C0249" w:rsidRDefault="00BE27CE" w:rsidP="00914322">
      <w:pPr>
        <w:jc w:val="both"/>
        <w:rPr>
          <w:rFonts w:asciiTheme="majorHAnsi" w:hAnsiTheme="majorHAnsi" w:cs="Arial"/>
          <w:sz w:val="22"/>
          <w:szCs w:val="22"/>
        </w:rPr>
      </w:pPr>
    </w:p>
    <w:p w:rsidR="00BE27CE" w:rsidRPr="006C0249" w:rsidRDefault="00BE27CE"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p>
    <w:p w:rsidR="00914322" w:rsidRPr="006C0249" w:rsidRDefault="00BE27CE" w:rsidP="00914322">
      <w:pPr>
        <w:jc w:val="both"/>
        <w:rPr>
          <w:rFonts w:asciiTheme="majorHAnsi" w:hAnsiTheme="majorHAnsi" w:cs="Arial"/>
          <w:sz w:val="22"/>
          <w:szCs w:val="22"/>
        </w:rPr>
      </w:pPr>
      <w:r w:rsidRPr="006C0249">
        <w:rPr>
          <w:rFonts w:asciiTheme="majorHAnsi" w:hAnsiTheme="majorHAnsi" w:cs="Arial"/>
          <w:sz w:val="22"/>
          <w:szCs w:val="22"/>
        </w:rPr>
        <w:t xml:space="preserve">Adopté à Saint-Claude, ce </w:t>
      </w:r>
      <w:r w:rsidR="00191777" w:rsidRPr="006C0249">
        <w:rPr>
          <w:rFonts w:asciiTheme="majorHAnsi" w:hAnsiTheme="majorHAnsi" w:cs="Arial"/>
          <w:sz w:val="22"/>
          <w:szCs w:val="22"/>
        </w:rPr>
        <w:t>17</w:t>
      </w:r>
      <w:r w:rsidR="00914322" w:rsidRPr="006C0249">
        <w:rPr>
          <w:rFonts w:asciiTheme="majorHAnsi" w:hAnsiTheme="majorHAnsi" w:cs="Arial"/>
          <w:sz w:val="22"/>
          <w:szCs w:val="22"/>
        </w:rPr>
        <w:t xml:space="preserve"> décembre 201</w:t>
      </w:r>
      <w:r w:rsidR="00860DD0" w:rsidRPr="006C0249">
        <w:rPr>
          <w:rFonts w:asciiTheme="majorHAnsi" w:hAnsiTheme="majorHAnsi" w:cs="Arial"/>
          <w:sz w:val="22"/>
          <w:szCs w:val="22"/>
        </w:rPr>
        <w:t>8</w:t>
      </w:r>
      <w:r w:rsidR="00914322" w:rsidRPr="006C0249">
        <w:rPr>
          <w:rFonts w:asciiTheme="majorHAnsi" w:hAnsiTheme="majorHAnsi" w:cs="Arial"/>
          <w:sz w:val="22"/>
          <w:szCs w:val="22"/>
        </w:rPr>
        <w:t>.</w:t>
      </w:r>
    </w:p>
    <w:p w:rsidR="00914322" w:rsidRPr="006C0249" w:rsidRDefault="00914322" w:rsidP="00914322">
      <w:pPr>
        <w:jc w:val="both"/>
        <w:rPr>
          <w:rFonts w:asciiTheme="majorHAnsi" w:hAnsiTheme="majorHAnsi" w:cs="Arial"/>
          <w:sz w:val="22"/>
          <w:szCs w:val="22"/>
        </w:rPr>
      </w:pPr>
    </w:p>
    <w:p w:rsidR="00E55A77" w:rsidRPr="006C0249" w:rsidRDefault="00E55A77" w:rsidP="00914322">
      <w:pPr>
        <w:jc w:val="both"/>
        <w:rPr>
          <w:rFonts w:asciiTheme="majorHAnsi" w:hAnsiTheme="majorHAnsi" w:cs="Arial"/>
          <w:sz w:val="22"/>
          <w:szCs w:val="22"/>
        </w:rPr>
      </w:pPr>
    </w:p>
    <w:p w:rsidR="00E55A77" w:rsidRPr="006C0249" w:rsidRDefault="00E55A77" w:rsidP="00914322">
      <w:pPr>
        <w:jc w:val="both"/>
        <w:rPr>
          <w:rFonts w:asciiTheme="majorHAnsi" w:hAnsiTheme="majorHAnsi" w:cs="Arial"/>
          <w:sz w:val="22"/>
          <w:szCs w:val="22"/>
        </w:rPr>
      </w:pP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w:t>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t>…………………………………..</w:t>
      </w:r>
    </w:p>
    <w:p w:rsidR="00914322" w:rsidRPr="006C0249" w:rsidRDefault="00914322" w:rsidP="00914322">
      <w:pPr>
        <w:jc w:val="both"/>
        <w:rPr>
          <w:rFonts w:asciiTheme="majorHAnsi" w:hAnsiTheme="majorHAnsi" w:cs="Arial"/>
          <w:b/>
          <w:sz w:val="22"/>
          <w:szCs w:val="22"/>
        </w:rPr>
      </w:pPr>
      <w:r w:rsidRPr="006C0249">
        <w:rPr>
          <w:rFonts w:asciiTheme="majorHAnsi" w:hAnsiTheme="majorHAnsi" w:cs="Arial"/>
          <w:b/>
          <w:sz w:val="22"/>
          <w:szCs w:val="22"/>
        </w:rPr>
        <w:t>Hervé Provencher</w:t>
      </w:r>
      <w:r w:rsidRPr="006C0249">
        <w:rPr>
          <w:rFonts w:asciiTheme="majorHAnsi" w:hAnsiTheme="majorHAnsi" w:cs="Arial"/>
          <w:b/>
          <w:sz w:val="22"/>
          <w:szCs w:val="22"/>
        </w:rPr>
        <w:tab/>
      </w:r>
      <w:r w:rsidRPr="006C0249">
        <w:rPr>
          <w:rFonts w:asciiTheme="majorHAnsi" w:hAnsiTheme="majorHAnsi" w:cs="Arial"/>
          <w:b/>
          <w:sz w:val="22"/>
          <w:szCs w:val="22"/>
        </w:rPr>
        <w:tab/>
      </w:r>
      <w:r w:rsidRPr="006C0249">
        <w:rPr>
          <w:rFonts w:asciiTheme="majorHAnsi" w:hAnsiTheme="majorHAnsi" w:cs="Arial"/>
          <w:b/>
          <w:sz w:val="22"/>
          <w:szCs w:val="22"/>
        </w:rPr>
        <w:tab/>
      </w:r>
      <w:r w:rsidRPr="006C0249">
        <w:rPr>
          <w:rFonts w:asciiTheme="majorHAnsi" w:hAnsiTheme="majorHAnsi" w:cs="Arial"/>
          <w:b/>
          <w:sz w:val="22"/>
          <w:szCs w:val="22"/>
        </w:rPr>
        <w:tab/>
      </w:r>
      <w:r w:rsidRPr="006C0249">
        <w:rPr>
          <w:rFonts w:asciiTheme="majorHAnsi" w:hAnsiTheme="majorHAnsi" w:cs="Arial"/>
          <w:b/>
          <w:sz w:val="22"/>
          <w:szCs w:val="22"/>
        </w:rPr>
        <w:tab/>
        <w:t>France Lavertu</w:t>
      </w:r>
    </w:p>
    <w:p w:rsidR="00914322" w:rsidRPr="006C0249" w:rsidRDefault="00914322" w:rsidP="00914322">
      <w:pPr>
        <w:jc w:val="both"/>
        <w:rPr>
          <w:rFonts w:asciiTheme="majorHAnsi" w:hAnsiTheme="majorHAnsi" w:cs="Arial"/>
          <w:sz w:val="22"/>
          <w:szCs w:val="22"/>
        </w:rPr>
      </w:pPr>
      <w:r w:rsidRPr="006C0249">
        <w:rPr>
          <w:rFonts w:asciiTheme="majorHAnsi" w:hAnsiTheme="majorHAnsi" w:cs="Arial"/>
          <w:sz w:val="22"/>
          <w:szCs w:val="22"/>
        </w:rPr>
        <w:t>Maire</w:t>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r>
      <w:r w:rsidRPr="006C0249">
        <w:rPr>
          <w:rFonts w:asciiTheme="majorHAnsi" w:hAnsiTheme="majorHAnsi" w:cs="Arial"/>
          <w:sz w:val="22"/>
          <w:szCs w:val="22"/>
        </w:rPr>
        <w:tab/>
        <w:t>Directrice générale et</w:t>
      </w:r>
    </w:p>
    <w:p w:rsidR="00914322" w:rsidRPr="006C0249" w:rsidRDefault="00914322" w:rsidP="00914322">
      <w:pPr>
        <w:ind w:left="4248" w:firstLine="708"/>
        <w:jc w:val="both"/>
        <w:rPr>
          <w:rFonts w:asciiTheme="majorHAnsi" w:hAnsiTheme="majorHAnsi" w:cs="Arial"/>
          <w:b/>
          <w:sz w:val="22"/>
          <w:szCs w:val="22"/>
          <w:u w:val="single"/>
        </w:rPr>
      </w:pPr>
      <w:r w:rsidRPr="006C0249">
        <w:rPr>
          <w:rFonts w:asciiTheme="majorHAnsi" w:hAnsiTheme="majorHAnsi" w:cs="Arial"/>
          <w:sz w:val="22"/>
          <w:szCs w:val="22"/>
        </w:rPr>
        <w:t>secrétaire-trésorière</w:t>
      </w:r>
    </w:p>
    <w:p w:rsidR="00914322" w:rsidRPr="006C0249" w:rsidRDefault="00914322" w:rsidP="00914322">
      <w:pPr>
        <w:rPr>
          <w:rFonts w:asciiTheme="majorHAnsi" w:hAnsiTheme="majorHAnsi"/>
          <w:sz w:val="22"/>
          <w:szCs w:val="22"/>
        </w:rPr>
      </w:pPr>
    </w:p>
    <w:p w:rsidR="00695923" w:rsidRPr="00477342" w:rsidRDefault="00695923"/>
    <w:p w:rsidR="00BE27CE" w:rsidRPr="00477342" w:rsidRDefault="00BE27CE"/>
    <w:p w:rsidR="00E55A77" w:rsidRPr="00477342" w:rsidRDefault="00E55A77"/>
    <w:p w:rsidR="00E55A77" w:rsidRPr="00477342" w:rsidRDefault="00E55A77"/>
    <w:p w:rsidR="00BE27CE" w:rsidRPr="00477342" w:rsidRDefault="00BE27CE"/>
    <w:p w:rsidR="000C50FE" w:rsidRPr="00477342" w:rsidRDefault="000C50FE">
      <w:r w:rsidRPr="00477342">
        <w:t xml:space="preserve">Avis de motion : </w:t>
      </w:r>
      <w:r w:rsidRPr="00477342">
        <w:tab/>
      </w:r>
      <w:r w:rsidRPr="00477342">
        <w:tab/>
      </w:r>
      <w:r w:rsidRPr="00477342">
        <w:tab/>
      </w:r>
      <w:r w:rsidRPr="00477342">
        <w:tab/>
      </w:r>
      <w:r w:rsidR="00860DD0" w:rsidRPr="00477342">
        <w:t>3</w:t>
      </w:r>
      <w:r w:rsidRPr="00477342">
        <w:t xml:space="preserve"> décembre 201</w:t>
      </w:r>
      <w:r w:rsidR="00860DD0" w:rsidRPr="00477342">
        <w:t>8</w:t>
      </w:r>
    </w:p>
    <w:p w:rsidR="000C50FE" w:rsidRPr="00477342" w:rsidRDefault="000C50FE">
      <w:r w:rsidRPr="00477342">
        <w:t xml:space="preserve">Présentation du projet de règlement : </w:t>
      </w:r>
      <w:r w:rsidRPr="00477342">
        <w:tab/>
      </w:r>
      <w:r w:rsidR="00860DD0" w:rsidRPr="00477342">
        <w:t>3</w:t>
      </w:r>
      <w:r w:rsidRPr="00477342">
        <w:t xml:space="preserve"> décembre 201</w:t>
      </w:r>
      <w:r w:rsidR="00860DD0" w:rsidRPr="00477342">
        <w:t>8</w:t>
      </w:r>
    </w:p>
    <w:p w:rsidR="000C50FE" w:rsidRPr="00477342" w:rsidRDefault="000C50FE">
      <w:r w:rsidRPr="00477342">
        <w:t>Adoption du règlemen</w:t>
      </w:r>
      <w:r w:rsidR="00860DD0" w:rsidRPr="00477342">
        <w:t>t :</w:t>
      </w:r>
      <w:r w:rsidR="00860DD0" w:rsidRPr="00477342">
        <w:tab/>
      </w:r>
      <w:r w:rsidR="00860DD0" w:rsidRPr="00477342">
        <w:tab/>
      </w:r>
      <w:r w:rsidR="00860DD0" w:rsidRPr="00477342">
        <w:tab/>
      </w:r>
      <w:r w:rsidR="00191777" w:rsidRPr="00477342">
        <w:t xml:space="preserve">17 </w:t>
      </w:r>
      <w:r w:rsidRPr="00477342">
        <w:t>décembre 201</w:t>
      </w:r>
      <w:r w:rsidR="00860DD0" w:rsidRPr="00477342">
        <w:t>8</w:t>
      </w:r>
    </w:p>
    <w:p w:rsidR="000C50FE" w:rsidRDefault="00D63DF7">
      <w:r w:rsidRPr="00477342">
        <w:t>Avis entré en vigueur :</w:t>
      </w:r>
      <w:r w:rsidRPr="00477342">
        <w:tab/>
      </w:r>
      <w:r w:rsidRPr="00477342">
        <w:tab/>
      </w:r>
      <w:r w:rsidRPr="00477342">
        <w:tab/>
      </w:r>
      <w:r w:rsidR="00AD5842">
        <w:t>20</w:t>
      </w:r>
      <w:r w:rsidR="00191777" w:rsidRPr="00477342">
        <w:t xml:space="preserve"> </w:t>
      </w:r>
      <w:r w:rsidR="000C50FE" w:rsidRPr="00477342">
        <w:t>décembre 201</w:t>
      </w:r>
      <w:r w:rsidR="00860DD0" w:rsidRPr="00477342">
        <w:t>8</w:t>
      </w:r>
    </w:p>
    <w:sectPr w:rsidR="000C50FE" w:rsidSect="00CE168C">
      <w:headerReference w:type="even" r:id="rId7"/>
      <w:headerReference w:type="default" r:id="rId8"/>
      <w:footerReference w:type="even" r:id="rId9"/>
      <w:footerReference w:type="default" r:id="rId10"/>
      <w:headerReference w:type="first" r:id="rId11"/>
      <w:footerReference w:type="first" r:id="rId12"/>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78" w:rsidRDefault="00151F78" w:rsidP="00D63DF7">
      <w:r>
        <w:separator/>
      </w:r>
    </w:p>
  </w:endnote>
  <w:endnote w:type="continuationSeparator" w:id="0">
    <w:p w:rsidR="00151F78" w:rsidRDefault="00151F78" w:rsidP="00D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78" w:rsidRDefault="00151F78" w:rsidP="00D63DF7">
      <w:r>
        <w:separator/>
      </w:r>
    </w:p>
  </w:footnote>
  <w:footnote w:type="continuationSeparator" w:id="0">
    <w:p w:rsidR="00151F78" w:rsidRDefault="00151F78" w:rsidP="00D6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F7" w:rsidRDefault="00D63D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2"/>
    <w:rsid w:val="00077E1D"/>
    <w:rsid w:val="00080FDF"/>
    <w:rsid w:val="0009485D"/>
    <w:rsid w:val="000C50FE"/>
    <w:rsid w:val="00151F78"/>
    <w:rsid w:val="001742E7"/>
    <w:rsid w:val="00191777"/>
    <w:rsid w:val="001A1B66"/>
    <w:rsid w:val="001B3CBA"/>
    <w:rsid w:val="001E6EE3"/>
    <w:rsid w:val="002A5BBD"/>
    <w:rsid w:val="003B1A19"/>
    <w:rsid w:val="003E65EA"/>
    <w:rsid w:val="00434757"/>
    <w:rsid w:val="00477342"/>
    <w:rsid w:val="005C086A"/>
    <w:rsid w:val="00695923"/>
    <w:rsid w:val="006A14E9"/>
    <w:rsid w:val="006C0249"/>
    <w:rsid w:val="00701D24"/>
    <w:rsid w:val="00786429"/>
    <w:rsid w:val="008373D3"/>
    <w:rsid w:val="00850B99"/>
    <w:rsid w:val="00860DD0"/>
    <w:rsid w:val="008F60A7"/>
    <w:rsid w:val="00914322"/>
    <w:rsid w:val="00915E73"/>
    <w:rsid w:val="00A014CA"/>
    <w:rsid w:val="00A5396B"/>
    <w:rsid w:val="00AD5842"/>
    <w:rsid w:val="00AF51B5"/>
    <w:rsid w:val="00BC2D46"/>
    <w:rsid w:val="00BE1521"/>
    <w:rsid w:val="00BE27CE"/>
    <w:rsid w:val="00C04A8B"/>
    <w:rsid w:val="00CE168C"/>
    <w:rsid w:val="00D63DF7"/>
    <w:rsid w:val="00D724F6"/>
    <w:rsid w:val="00DC32FE"/>
    <w:rsid w:val="00E55A77"/>
    <w:rsid w:val="00ED1172"/>
    <w:rsid w:val="00FF35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E27CE"/>
    <w:pPr>
      <w:keepNext/>
      <w:outlineLvl w:val="0"/>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322"/>
    <w:pPr>
      <w:ind w:left="720"/>
      <w:contextualSpacing/>
    </w:pPr>
  </w:style>
  <w:style w:type="character" w:customStyle="1" w:styleId="Titre1Car">
    <w:name w:val="Titre 1 Car"/>
    <w:basedOn w:val="Policepardfaut"/>
    <w:link w:val="Titre1"/>
    <w:rsid w:val="00BE27CE"/>
    <w:rPr>
      <w:rFonts w:ascii="Times New Roman" w:eastAsia="Times New Roman" w:hAnsi="Times New Roman" w:cs="Times New Roman"/>
      <w:b/>
      <w:sz w:val="24"/>
      <w:szCs w:val="20"/>
      <w:u w:val="single"/>
      <w:lang w:eastAsia="fr-FR"/>
    </w:rPr>
  </w:style>
  <w:style w:type="paragraph" w:styleId="Corpsdetexte2">
    <w:name w:val="Body Text 2"/>
    <w:basedOn w:val="Normal"/>
    <w:link w:val="Corpsdetexte2Car"/>
    <w:rsid w:val="00BE27CE"/>
    <w:rPr>
      <w:b/>
      <w:sz w:val="24"/>
      <w:u w:val="single"/>
    </w:rPr>
  </w:style>
  <w:style w:type="character" w:customStyle="1" w:styleId="Corpsdetexte2Car">
    <w:name w:val="Corps de texte 2 Car"/>
    <w:basedOn w:val="Policepardfaut"/>
    <w:link w:val="Corpsdetexte2"/>
    <w:rsid w:val="00BE27CE"/>
    <w:rPr>
      <w:rFonts w:ascii="Times New Roman" w:eastAsia="Times New Roman" w:hAnsi="Times New Roman" w:cs="Times New Roman"/>
      <w:b/>
      <w:sz w:val="24"/>
      <w:szCs w:val="20"/>
      <w:u w:val="single"/>
      <w:lang w:eastAsia="fr-FR"/>
    </w:rPr>
  </w:style>
  <w:style w:type="paragraph" w:styleId="Textedebulles">
    <w:name w:val="Balloon Text"/>
    <w:basedOn w:val="Normal"/>
    <w:link w:val="TextedebullesCar"/>
    <w:uiPriority w:val="99"/>
    <w:semiHidden/>
    <w:unhideWhenUsed/>
    <w:rsid w:val="001742E7"/>
    <w:rPr>
      <w:rFonts w:ascii="Tahoma" w:hAnsi="Tahoma" w:cs="Tahoma"/>
      <w:sz w:val="16"/>
      <w:szCs w:val="16"/>
    </w:rPr>
  </w:style>
  <w:style w:type="character" w:customStyle="1" w:styleId="TextedebullesCar">
    <w:name w:val="Texte de bulles Car"/>
    <w:basedOn w:val="Policepardfaut"/>
    <w:link w:val="Textedebulles"/>
    <w:uiPriority w:val="99"/>
    <w:semiHidden/>
    <w:rsid w:val="001742E7"/>
    <w:rPr>
      <w:rFonts w:ascii="Tahoma" w:eastAsia="Times New Roman" w:hAnsi="Tahoma" w:cs="Tahoma"/>
      <w:sz w:val="16"/>
      <w:szCs w:val="16"/>
      <w:lang w:eastAsia="fr-FR"/>
    </w:rPr>
  </w:style>
  <w:style w:type="paragraph" w:styleId="En-tte">
    <w:name w:val="header"/>
    <w:basedOn w:val="Normal"/>
    <w:link w:val="En-tteCar"/>
    <w:uiPriority w:val="99"/>
    <w:unhideWhenUsed/>
    <w:rsid w:val="00D63DF7"/>
    <w:pPr>
      <w:tabs>
        <w:tab w:val="center" w:pos="4320"/>
        <w:tab w:val="right" w:pos="8640"/>
      </w:tabs>
    </w:pPr>
  </w:style>
  <w:style w:type="character" w:customStyle="1" w:styleId="En-tteCar">
    <w:name w:val="En-tête Car"/>
    <w:basedOn w:val="Policepardfaut"/>
    <w:link w:val="En-tte"/>
    <w:uiPriority w:val="99"/>
    <w:rsid w:val="00D63DF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63DF7"/>
    <w:pPr>
      <w:tabs>
        <w:tab w:val="center" w:pos="4320"/>
        <w:tab w:val="right" w:pos="8640"/>
      </w:tabs>
    </w:pPr>
  </w:style>
  <w:style w:type="character" w:customStyle="1" w:styleId="PieddepageCar">
    <w:name w:val="Pied de page Car"/>
    <w:basedOn w:val="Policepardfaut"/>
    <w:link w:val="Pieddepage"/>
    <w:uiPriority w:val="99"/>
    <w:rsid w:val="00D63DF7"/>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E27CE"/>
    <w:pPr>
      <w:keepNext/>
      <w:outlineLvl w:val="0"/>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322"/>
    <w:pPr>
      <w:ind w:left="720"/>
      <w:contextualSpacing/>
    </w:pPr>
  </w:style>
  <w:style w:type="character" w:customStyle="1" w:styleId="Titre1Car">
    <w:name w:val="Titre 1 Car"/>
    <w:basedOn w:val="Policepardfaut"/>
    <w:link w:val="Titre1"/>
    <w:rsid w:val="00BE27CE"/>
    <w:rPr>
      <w:rFonts w:ascii="Times New Roman" w:eastAsia="Times New Roman" w:hAnsi="Times New Roman" w:cs="Times New Roman"/>
      <w:b/>
      <w:sz w:val="24"/>
      <w:szCs w:val="20"/>
      <w:u w:val="single"/>
      <w:lang w:eastAsia="fr-FR"/>
    </w:rPr>
  </w:style>
  <w:style w:type="paragraph" w:styleId="Corpsdetexte2">
    <w:name w:val="Body Text 2"/>
    <w:basedOn w:val="Normal"/>
    <w:link w:val="Corpsdetexte2Car"/>
    <w:rsid w:val="00BE27CE"/>
    <w:rPr>
      <w:b/>
      <w:sz w:val="24"/>
      <w:u w:val="single"/>
    </w:rPr>
  </w:style>
  <w:style w:type="character" w:customStyle="1" w:styleId="Corpsdetexte2Car">
    <w:name w:val="Corps de texte 2 Car"/>
    <w:basedOn w:val="Policepardfaut"/>
    <w:link w:val="Corpsdetexte2"/>
    <w:rsid w:val="00BE27CE"/>
    <w:rPr>
      <w:rFonts w:ascii="Times New Roman" w:eastAsia="Times New Roman" w:hAnsi="Times New Roman" w:cs="Times New Roman"/>
      <w:b/>
      <w:sz w:val="24"/>
      <w:szCs w:val="20"/>
      <w:u w:val="single"/>
      <w:lang w:eastAsia="fr-FR"/>
    </w:rPr>
  </w:style>
  <w:style w:type="paragraph" w:styleId="Textedebulles">
    <w:name w:val="Balloon Text"/>
    <w:basedOn w:val="Normal"/>
    <w:link w:val="TextedebullesCar"/>
    <w:uiPriority w:val="99"/>
    <w:semiHidden/>
    <w:unhideWhenUsed/>
    <w:rsid w:val="001742E7"/>
    <w:rPr>
      <w:rFonts w:ascii="Tahoma" w:hAnsi="Tahoma" w:cs="Tahoma"/>
      <w:sz w:val="16"/>
      <w:szCs w:val="16"/>
    </w:rPr>
  </w:style>
  <w:style w:type="character" w:customStyle="1" w:styleId="TextedebullesCar">
    <w:name w:val="Texte de bulles Car"/>
    <w:basedOn w:val="Policepardfaut"/>
    <w:link w:val="Textedebulles"/>
    <w:uiPriority w:val="99"/>
    <w:semiHidden/>
    <w:rsid w:val="001742E7"/>
    <w:rPr>
      <w:rFonts w:ascii="Tahoma" w:eastAsia="Times New Roman" w:hAnsi="Tahoma" w:cs="Tahoma"/>
      <w:sz w:val="16"/>
      <w:szCs w:val="16"/>
      <w:lang w:eastAsia="fr-FR"/>
    </w:rPr>
  </w:style>
  <w:style w:type="paragraph" w:styleId="En-tte">
    <w:name w:val="header"/>
    <w:basedOn w:val="Normal"/>
    <w:link w:val="En-tteCar"/>
    <w:uiPriority w:val="99"/>
    <w:unhideWhenUsed/>
    <w:rsid w:val="00D63DF7"/>
    <w:pPr>
      <w:tabs>
        <w:tab w:val="center" w:pos="4320"/>
        <w:tab w:val="right" w:pos="8640"/>
      </w:tabs>
    </w:pPr>
  </w:style>
  <w:style w:type="character" w:customStyle="1" w:styleId="En-tteCar">
    <w:name w:val="En-tête Car"/>
    <w:basedOn w:val="Policepardfaut"/>
    <w:link w:val="En-tte"/>
    <w:uiPriority w:val="99"/>
    <w:rsid w:val="00D63DF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63DF7"/>
    <w:pPr>
      <w:tabs>
        <w:tab w:val="center" w:pos="4320"/>
        <w:tab w:val="right" w:pos="8640"/>
      </w:tabs>
    </w:pPr>
  </w:style>
  <w:style w:type="character" w:customStyle="1" w:styleId="PieddepageCar">
    <w:name w:val="Pied de page Car"/>
    <w:basedOn w:val="Policepardfaut"/>
    <w:link w:val="Pieddepage"/>
    <w:uiPriority w:val="99"/>
    <w:rsid w:val="00D63DF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7464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Hewlett-Packard Company</cp:lastModifiedBy>
  <cp:revision>2</cp:revision>
  <cp:lastPrinted>2018-12-18T15:54:00Z</cp:lastPrinted>
  <dcterms:created xsi:type="dcterms:W3CDTF">2018-12-18T15:55:00Z</dcterms:created>
  <dcterms:modified xsi:type="dcterms:W3CDTF">2018-12-18T15:55:00Z</dcterms:modified>
</cp:coreProperties>
</file>